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3968" w:leader="none"/>
        </w:tabs>
        <w:spacing w:lineRule="atLeast" w:line="240"/>
        <w:jc w:val="center"/>
        <w:rPr>
          <w:color w:val="000000"/>
          <w:spacing w:val="20"/>
          <w:sz w:val="28"/>
          <w:szCs w:val="28"/>
        </w:rPr>
      </w:pPr>
      <w:r>
        <w:rPr>
          <w:color w:val="000000"/>
          <w:spacing w:val="20"/>
          <w:sz w:val="28"/>
          <w:szCs w:val="28"/>
        </w:rPr>
        <w:t>РОССИЙСКАЯ ФЕДЕРАЦИЯ</w:t>
      </w:r>
    </w:p>
    <w:p>
      <w:pPr>
        <w:pStyle w:val="Normal"/>
        <w:widowControl w:val="false"/>
        <w:tabs>
          <w:tab w:val="clear" w:pos="708"/>
          <w:tab w:val="left" w:pos="709" w:leader="none"/>
          <w:tab w:val="left" w:pos="3968" w:leader="none"/>
        </w:tabs>
        <w:spacing w:lineRule="atLeast" w:line="240"/>
        <w:jc w:val="center"/>
        <w:rPr>
          <w:color w:val="000000"/>
          <w:spacing w:val="20"/>
          <w:sz w:val="28"/>
          <w:szCs w:val="28"/>
        </w:rPr>
      </w:pPr>
      <w:r>
        <w:rPr>
          <w:color w:val="000000"/>
          <w:spacing w:val="20"/>
          <w:sz w:val="28"/>
          <w:szCs w:val="28"/>
        </w:rPr>
        <w:t>БЕЛГОРОДСКАЯ ОБЛАСТЬ</w:t>
      </w:r>
    </w:p>
    <w:p>
      <w:pPr>
        <w:pStyle w:val="Normal"/>
        <w:widowControl w:val="false"/>
        <w:tabs>
          <w:tab w:val="clear" w:pos="708"/>
          <w:tab w:val="left" w:pos="3968" w:leader="none"/>
        </w:tabs>
        <w:spacing w:lineRule="atLeast" w:line="240"/>
        <w:jc w:val="center"/>
        <w:rPr>
          <w:color w:val="000000"/>
          <w:spacing w:val="20"/>
          <w:sz w:val="28"/>
          <w:szCs w:val="28"/>
        </w:rPr>
      </w:pPr>
      <w:r>
        <w:rPr>
          <w:color w:val="000000"/>
          <w:spacing w:val="20"/>
          <w:sz w:val="28"/>
          <w:szCs w:val="28"/>
        </w:rPr>
        <w:t>АДМИНИСТРАЦИЯ МУНИЦИПАЛЬНОГО РАЙОНА</w:t>
      </w:r>
    </w:p>
    <w:p>
      <w:pPr>
        <w:pStyle w:val="Normal"/>
        <w:widowControl w:val="false"/>
        <w:tabs>
          <w:tab w:val="clear" w:pos="708"/>
          <w:tab w:val="left" w:pos="3968" w:leader="none"/>
        </w:tabs>
        <w:spacing w:lineRule="atLeast" w:line="240"/>
        <w:jc w:val="center"/>
        <w:rPr>
          <w:color w:val="000000"/>
          <w:spacing w:val="20"/>
          <w:sz w:val="28"/>
          <w:szCs w:val="28"/>
        </w:rPr>
      </w:pPr>
      <w:r>
        <w:rPr>
          <w:color w:val="000000"/>
          <w:spacing w:val="20"/>
          <w:sz w:val="28"/>
          <w:szCs w:val="28"/>
        </w:rPr>
        <w:t>«КРАСНОЯРУЖСКИЙ РАЙОН»</w:t>
      </w:r>
    </w:p>
    <w:p>
      <w:pPr>
        <w:pStyle w:val="Normal"/>
        <w:widowControl w:val="false"/>
        <w:tabs>
          <w:tab w:val="clear" w:pos="708"/>
          <w:tab w:val="left" w:pos="3968" w:leader="none"/>
        </w:tabs>
        <w:spacing w:before="56" w:after="0"/>
        <w:jc w:val="center"/>
        <w:rPr>
          <w:b/>
          <w:color w:val="000000"/>
          <w:sz w:val="28"/>
          <w:szCs w:val="28"/>
        </w:rPr>
      </w:pPr>
      <w:r>
        <w:rPr>
          <w:b/>
          <w:color w:val="000000"/>
          <w:sz w:val="28"/>
          <w:szCs w:val="28"/>
        </w:rPr>
      </w:r>
    </w:p>
    <w:p>
      <w:pPr>
        <w:pStyle w:val="Normal"/>
        <w:widowControl w:val="false"/>
        <w:tabs>
          <w:tab w:val="clear" w:pos="708"/>
          <w:tab w:val="left" w:pos="3968" w:leader="none"/>
        </w:tabs>
        <w:spacing w:before="56" w:after="0"/>
        <w:jc w:val="center"/>
        <w:rPr>
          <w:b/>
          <w:color w:val="000000"/>
          <w:sz w:val="28"/>
          <w:szCs w:val="28"/>
        </w:rPr>
      </w:pPr>
      <w:r>
        <w:rPr>
          <w:b/>
          <w:color w:val="000000"/>
          <w:sz w:val="28"/>
          <w:szCs w:val="28"/>
        </w:rPr>
      </w:r>
    </w:p>
    <w:p>
      <w:pPr>
        <w:pStyle w:val="Normal"/>
        <w:widowControl w:val="false"/>
        <w:tabs>
          <w:tab w:val="clear" w:pos="708"/>
          <w:tab w:val="left" w:pos="2494" w:leader="none"/>
        </w:tabs>
        <w:jc w:val="center"/>
        <w:rPr>
          <w:b/>
          <w:color w:val="000000"/>
          <w:spacing w:val="20"/>
          <w:sz w:val="28"/>
          <w:szCs w:val="28"/>
        </w:rPr>
      </w:pPr>
      <w:r>
        <w:rPr>
          <w:b/>
          <w:color w:val="000000"/>
          <w:spacing w:val="20"/>
          <w:sz w:val="28"/>
          <w:szCs w:val="28"/>
        </w:rPr>
        <w:t>ПОСТАНОВЛЕНИЕ</w:t>
      </w:r>
    </w:p>
    <w:p>
      <w:pPr>
        <w:pStyle w:val="Normal"/>
        <w:widowControl w:val="false"/>
        <w:tabs>
          <w:tab w:val="clear" w:pos="708"/>
          <w:tab w:val="left" w:pos="0" w:leader="none"/>
          <w:tab w:val="left" w:pos="6803" w:leader="none"/>
        </w:tabs>
        <w:spacing w:lineRule="atLeast" w:line="240"/>
        <w:jc w:val="both"/>
        <w:rPr>
          <w:color w:val="000000"/>
          <w:sz w:val="28"/>
          <w:szCs w:val="28"/>
        </w:rPr>
      </w:pPr>
      <w:r>
        <w:rPr>
          <w:color w:val="000000"/>
          <w:sz w:val="28"/>
          <w:szCs w:val="28"/>
        </w:rPr>
      </w:r>
    </w:p>
    <w:tbl>
      <w:tblPr>
        <w:tblW w:w="9571" w:type="dxa"/>
        <w:jc w:val="left"/>
        <w:tblInd w:w="108" w:type="dxa"/>
        <w:tblLayout w:type="fixed"/>
        <w:tblCellMar>
          <w:top w:w="0" w:type="dxa"/>
          <w:left w:w="108" w:type="dxa"/>
          <w:bottom w:w="0" w:type="dxa"/>
          <w:right w:w="108" w:type="dxa"/>
        </w:tblCellMar>
        <w:tblLook w:val="04a0"/>
      </w:tblPr>
      <w:tblGrid>
        <w:gridCol w:w="4787"/>
        <w:gridCol w:w="4783"/>
      </w:tblGrid>
      <w:tr>
        <w:trPr/>
        <w:tc>
          <w:tcPr>
            <w:tcW w:w="4787" w:type="dxa"/>
            <w:tcBorders/>
          </w:tcPr>
          <w:p>
            <w:pPr>
              <w:pStyle w:val="Normal"/>
              <w:widowControl w:val="false"/>
              <w:tabs>
                <w:tab w:val="clear" w:pos="708"/>
                <w:tab w:val="left" w:pos="0" w:leader="none"/>
                <w:tab w:val="left" w:pos="6803" w:leader="none"/>
              </w:tabs>
              <w:spacing w:lineRule="atLeast" w:line="240"/>
              <w:rPr>
                <w:color w:val="000000"/>
                <w:sz w:val="28"/>
                <w:szCs w:val="28"/>
              </w:rPr>
            </w:pPr>
            <w:r>
              <w:rPr>
                <w:color w:val="000000"/>
                <w:sz w:val="28"/>
                <w:szCs w:val="28"/>
              </w:rPr>
              <w:t xml:space="preserve">«21» июля </w:t>
            </w:r>
            <w:bookmarkStart w:id="0" w:name="_GoBack"/>
            <w:bookmarkEnd w:id="0"/>
            <w:r>
              <w:rPr>
                <w:color w:val="000000"/>
                <w:sz w:val="28"/>
                <w:szCs w:val="28"/>
              </w:rPr>
              <w:t>2025 года</w:t>
            </w:r>
          </w:p>
        </w:tc>
        <w:tc>
          <w:tcPr>
            <w:tcW w:w="4783" w:type="dxa"/>
            <w:tcBorders/>
          </w:tcPr>
          <w:p>
            <w:pPr>
              <w:pStyle w:val="Normal"/>
              <w:widowControl w:val="false"/>
              <w:tabs>
                <w:tab w:val="clear" w:pos="708"/>
                <w:tab w:val="left" w:pos="0" w:leader="none"/>
                <w:tab w:val="left" w:pos="6803" w:leader="none"/>
              </w:tabs>
              <w:spacing w:lineRule="atLeast" w:line="240"/>
              <w:jc w:val="right"/>
              <w:rPr>
                <w:color w:val="000000"/>
                <w:sz w:val="28"/>
                <w:szCs w:val="28"/>
              </w:rPr>
            </w:pPr>
            <w:r>
              <w:rPr>
                <w:color w:val="000000"/>
                <w:sz w:val="28"/>
                <w:szCs w:val="28"/>
              </w:rPr>
              <w:t xml:space="preserve">№ </w:t>
            </w:r>
            <w:r>
              <w:rPr>
                <w:color w:val="000000"/>
                <w:sz w:val="28"/>
                <w:szCs w:val="28"/>
              </w:rPr>
              <w:t>132</w:t>
            </w:r>
          </w:p>
        </w:tc>
      </w:tr>
    </w:tbl>
    <w:p>
      <w:pPr>
        <w:pStyle w:val="Normal"/>
        <w:widowControl w:val="false"/>
        <w:tabs>
          <w:tab w:val="clear" w:pos="708"/>
          <w:tab w:val="left" w:pos="0" w:leader="none"/>
          <w:tab w:val="left" w:pos="6803" w:leader="none"/>
        </w:tabs>
        <w:spacing w:lineRule="atLeast" w:line="240"/>
        <w:jc w:val="both"/>
        <w:rPr>
          <w:b/>
          <w:bCs/>
          <w:color w:val="000000"/>
          <w:sz w:val="28"/>
          <w:szCs w:val="28"/>
        </w:rPr>
      </w:pPr>
      <w:r>
        <w:rPr>
          <w:b/>
          <w:bCs/>
          <w:color w:val="000000"/>
          <w:sz w:val="28"/>
          <w:szCs w:val="28"/>
        </w:rPr>
      </w:r>
    </w:p>
    <w:p>
      <w:pPr>
        <w:pStyle w:val="Normal"/>
        <w:widowControl w:val="false"/>
        <w:tabs>
          <w:tab w:val="clear" w:pos="708"/>
          <w:tab w:val="left" w:pos="0" w:leader="none"/>
          <w:tab w:val="left" w:pos="6803" w:leader="none"/>
        </w:tabs>
        <w:spacing w:lineRule="atLeast" w:line="240"/>
        <w:jc w:val="both"/>
        <w:rPr>
          <w:b/>
          <w:bCs/>
          <w:color w:val="000000"/>
          <w:sz w:val="28"/>
          <w:szCs w:val="28"/>
        </w:rPr>
      </w:pPr>
      <w:r>
        <w:rPr>
          <w:b/>
          <w:bCs/>
          <w:color w:val="000000"/>
          <w:sz w:val="28"/>
          <w:szCs w:val="28"/>
        </w:rPr>
      </w:r>
    </w:p>
    <w:tbl>
      <w:tblPr>
        <w:tblW w:w="10337" w:type="dxa"/>
        <w:jc w:val="left"/>
        <w:tblInd w:w="108" w:type="dxa"/>
        <w:tblLayout w:type="fixed"/>
        <w:tblCellMar>
          <w:top w:w="0" w:type="dxa"/>
          <w:left w:w="108" w:type="dxa"/>
          <w:bottom w:w="0" w:type="dxa"/>
          <w:right w:w="108" w:type="dxa"/>
        </w:tblCellMar>
        <w:tblLook w:val="01e0"/>
      </w:tblPr>
      <w:tblGrid>
        <w:gridCol w:w="5912"/>
        <w:gridCol w:w="4424"/>
      </w:tblGrid>
      <w:tr>
        <w:trPr>
          <w:trHeight w:val="2044" w:hRule="atLeast"/>
        </w:trPr>
        <w:tc>
          <w:tcPr>
            <w:tcW w:w="5912" w:type="dxa"/>
            <w:tcBorders/>
            <w:shd w:color="auto" w:fill="auto" w:val="clear"/>
          </w:tcPr>
          <w:p>
            <w:pPr>
              <w:pStyle w:val="BodyText"/>
              <w:spacing w:lineRule="atLeast" w:line="240"/>
              <w:rPr>
                <w:b/>
                <w:bCs/>
              </w:rPr>
            </w:pPr>
            <w:r>
              <w:rPr>
                <w:b/>
                <w:bCs/>
              </w:rPr>
              <w:t xml:space="preserve">Об утверждении норматива стоимости </w:t>
            </w:r>
          </w:p>
          <w:p>
            <w:pPr>
              <w:pStyle w:val="BodyText"/>
              <w:spacing w:lineRule="atLeast" w:line="240"/>
              <w:rPr>
                <w:b/>
                <w:bCs/>
              </w:rPr>
            </w:pPr>
            <w:r>
              <w:rPr>
                <w:b/>
                <w:bCs/>
              </w:rPr>
              <w:t xml:space="preserve">одного квадратного метра общей площади </w:t>
            </w:r>
          </w:p>
          <w:p>
            <w:pPr>
              <w:pStyle w:val="BodyText"/>
              <w:spacing w:lineRule="atLeast" w:line="240"/>
              <w:rPr>
                <w:b/>
                <w:bCs/>
              </w:rPr>
            </w:pPr>
            <w:r>
              <w:rPr>
                <w:b/>
                <w:bCs/>
              </w:rPr>
              <w:t xml:space="preserve">жилья в целях обеспечения жильем </w:t>
            </w:r>
          </w:p>
          <w:p>
            <w:pPr>
              <w:pStyle w:val="BodyText"/>
              <w:spacing w:lineRule="atLeast" w:line="240"/>
              <w:rPr>
                <w:b/>
                <w:bCs/>
              </w:rPr>
            </w:pPr>
            <w:r>
              <w:rPr>
                <w:b/>
                <w:bCs/>
              </w:rPr>
              <w:t xml:space="preserve">медицинских работников на третий </w:t>
            </w:r>
          </w:p>
          <w:p>
            <w:pPr>
              <w:pStyle w:val="BodyText"/>
              <w:spacing w:lineRule="atLeast" w:line="240"/>
              <w:rPr>
                <w:b/>
                <w:bCs/>
              </w:rPr>
            </w:pPr>
            <w:r>
              <w:rPr>
                <w:b/>
                <w:bCs/>
              </w:rPr>
              <w:t xml:space="preserve">квартал 2025 года по Краснояружскому </w:t>
            </w:r>
          </w:p>
          <w:p>
            <w:pPr>
              <w:pStyle w:val="BodyText"/>
              <w:spacing w:lineRule="atLeast" w:line="240"/>
              <w:rPr>
                <w:b/>
                <w:bCs/>
              </w:rPr>
            </w:pPr>
            <w:r>
              <w:rPr>
                <w:b/>
                <w:bCs/>
              </w:rPr>
              <w:t>району</w:t>
            </w:r>
          </w:p>
        </w:tc>
        <w:tc>
          <w:tcPr>
            <w:tcW w:w="4424" w:type="dxa"/>
            <w:tcBorders/>
            <w:shd w:color="auto" w:fill="auto" w:val="clear"/>
          </w:tcPr>
          <w:p>
            <w:pPr>
              <w:pStyle w:val="BodyText"/>
              <w:spacing w:lineRule="atLeast" w:line="240"/>
              <w:jc w:val="center"/>
              <w:rPr>
                <w:bCs/>
              </w:rPr>
            </w:pPr>
            <w:r>
              <w:rPr>
                <w:bCs/>
              </w:rPr>
            </w:r>
          </w:p>
        </w:tc>
      </w:tr>
    </w:tbl>
    <w:p>
      <w:pPr>
        <w:pStyle w:val="BodyText"/>
        <w:ind w:firstLine="720" w:right="-711"/>
        <w:rPr/>
      </w:pPr>
      <w:r>
        <w:rPr/>
      </w:r>
    </w:p>
    <w:p>
      <w:pPr>
        <w:pStyle w:val="BodyText"/>
        <w:ind w:firstLine="720" w:right="-711"/>
        <w:rPr/>
      </w:pPr>
      <w:r>
        <w:rPr/>
      </w:r>
    </w:p>
    <w:p>
      <w:pPr>
        <w:pStyle w:val="BodyText"/>
        <w:tabs>
          <w:tab w:val="left" w:pos="90" w:leader="none"/>
          <w:tab w:val="left" w:pos="709" w:leader="none"/>
        </w:tabs>
        <w:spacing w:lineRule="atLeast" w:line="240"/>
        <w:ind w:firstLine="720" w:right="-1"/>
        <w:rPr/>
      </w:pPr>
      <w:r>
        <w:rPr/>
        <w:t xml:space="preserve">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медицинских работников государственных учреждений здравоохранения Белгородской области, утвержденным постановлением Правительства области от 21 июня 2021 года № 237-пп «О внесении изменений в постановление Правительства Белгородской области от 16 декабря 2013 года № 524-пп», руководствуясь </w:t>
      </w:r>
      <w:r>
        <w:rPr>
          <w:bCs/>
        </w:rPr>
        <w:t xml:space="preserve">Приказом Министерства строительства и жилищно-коммунального хозяйства Российской Федерации от                                         2 июля 2025 года № 394/пр «О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 </w:t>
      </w:r>
      <w:r>
        <w:rPr/>
        <w:t>администрация Краснояружского района,</w:t>
      </w:r>
    </w:p>
    <w:p>
      <w:pPr>
        <w:pStyle w:val="BodyText"/>
        <w:tabs>
          <w:tab w:val="left" w:pos="90" w:leader="none"/>
          <w:tab w:val="left" w:pos="709" w:leader="none"/>
        </w:tabs>
        <w:spacing w:lineRule="atLeast" w:line="240"/>
        <w:ind w:right="-711"/>
        <w:jc w:val="center"/>
        <w:rPr/>
      </w:pPr>
      <w:r>
        <w:rPr>
          <w:b/>
          <w:bCs/>
        </w:rPr>
        <w:t>постановляет:</w:t>
      </w:r>
    </w:p>
    <w:p>
      <w:pPr>
        <w:pStyle w:val="BodyText"/>
        <w:numPr>
          <w:ilvl w:val="0"/>
          <w:numId w:val="1"/>
        </w:numPr>
        <w:tabs>
          <w:tab w:val="clear" w:pos="90"/>
          <w:tab w:val="left" w:pos="1134" w:leader="none"/>
        </w:tabs>
        <w:spacing w:lineRule="atLeast" w:line="240"/>
        <w:ind w:firstLine="709" w:left="0"/>
        <w:rPr>
          <w:bCs/>
        </w:rPr>
      </w:pPr>
      <w:r>
        <w:rPr>
          <w:bCs/>
        </w:rPr>
        <w:t>Утвердить норматив стоимости одного квадратного метра общей площади жилья в целях обеспечения жильем медицинских работников на третий квартал 2025 года по Краснояружскому району на приобретение и строительство жилья в размере в размере 97 470 (Девяносто семь тысяч четыреста семьдесят) рублей 00 копеек.</w:t>
      </w:r>
    </w:p>
    <w:p>
      <w:pPr>
        <w:pStyle w:val="4"/>
        <w:numPr>
          <w:ilvl w:val="0"/>
          <w:numId w:val="1"/>
        </w:numPr>
        <w:tabs>
          <w:tab w:val="clear" w:pos="708"/>
          <w:tab w:val="left" w:pos="1134" w:leader="none"/>
        </w:tabs>
        <w:spacing w:lineRule="atLeast" w:line="240" w:before="0" w:after="0"/>
        <w:ind w:firstLine="709" w:left="0"/>
        <w:contextualSpacing/>
        <w:jc w:val="both"/>
        <w:rPr>
          <w:rFonts w:ascii="Times New Roman" w:hAnsi="Times New Roman"/>
          <w:sz w:val="28"/>
          <w:szCs w:val="28"/>
        </w:rPr>
      </w:pPr>
      <w:r>
        <w:rPr>
          <w:rFonts w:ascii="Times New Roman" w:hAnsi="Times New Roman"/>
          <w:sz w:val="28"/>
          <w:szCs w:val="28"/>
        </w:rPr>
        <w:t>Начальнику информационно-технического отдела администрации района Люлюченко М.В. разместить на официальном сайте органов местного самоуправления Краснояружского района, отделу социальных коммуникаций и СМИ (Исмайлова Г.) опубликовать постановление в сетевом издании «Наша Жизнь 31».</w:t>
      </w:r>
    </w:p>
    <w:p>
      <w:pPr>
        <w:pStyle w:val="1"/>
        <w:numPr>
          <w:ilvl w:val="0"/>
          <w:numId w:val="1"/>
        </w:numPr>
        <w:tabs>
          <w:tab w:val="clear" w:pos="708"/>
          <w:tab w:val="left" w:pos="1134" w:leader="none"/>
        </w:tabs>
        <w:spacing w:lineRule="atLeast" w:line="240" w:before="0" w:after="0"/>
        <w:ind w:firstLine="709" w:left="0" w:right="-1"/>
        <w:contextualSpacing/>
        <w:jc w:val="both"/>
        <w:rPr>
          <w:b/>
          <w:bCs/>
        </w:rPr>
      </w:pPr>
      <w:r>
        <w:rPr>
          <w:rFonts w:ascii="Times New Roman" w:hAnsi="Times New Roman"/>
          <w:sz w:val="28"/>
          <w:szCs w:val="28"/>
          <w:lang w:eastAsia="ru-RU"/>
        </w:rPr>
        <w:t>Контроль за исполнением данного постановления возложить на заместителя главы администрации по строительству, транспорту и ЖКХ Попова А.А.</w:t>
      </w:r>
    </w:p>
    <w:p>
      <w:pPr>
        <w:pStyle w:val="BodyText"/>
        <w:tabs>
          <w:tab w:val="left" w:pos="90" w:leader="none"/>
          <w:tab w:val="left" w:pos="2025" w:leader="none"/>
        </w:tabs>
        <w:ind w:right="-1"/>
        <w:rPr>
          <w:b/>
          <w:bCs/>
        </w:rPr>
      </w:pPr>
      <w:r>
        <w:rPr>
          <w:b/>
          <w:bCs/>
        </w:rPr>
      </w:r>
    </w:p>
    <w:p>
      <w:pPr>
        <w:pStyle w:val="BodyText"/>
        <w:ind w:right="-1"/>
        <w:rPr>
          <w:b/>
          <w:bCs/>
        </w:rPr>
      </w:pPr>
      <w:r>
        <w:rPr>
          <w:b/>
          <w:bCs/>
        </w:rPr>
      </w:r>
    </w:p>
    <w:tbl>
      <w:tblPr>
        <w:tblW w:w="9571" w:type="dxa"/>
        <w:jc w:val="left"/>
        <w:tblInd w:w="108" w:type="dxa"/>
        <w:tblLayout w:type="fixed"/>
        <w:tblCellMar>
          <w:top w:w="0" w:type="dxa"/>
          <w:left w:w="108" w:type="dxa"/>
          <w:bottom w:w="0" w:type="dxa"/>
          <w:right w:w="108" w:type="dxa"/>
        </w:tblCellMar>
        <w:tblLook w:val="04a0"/>
      </w:tblPr>
      <w:tblGrid>
        <w:gridCol w:w="4785"/>
        <w:gridCol w:w="4785"/>
      </w:tblGrid>
      <w:tr>
        <w:trPr/>
        <w:tc>
          <w:tcPr>
            <w:tcW w:w="4785" w:type="dxa"/>
            <w:tcBorders/>
          </w:tcPr>
          <w:p>
            <w:pPr>
              <w:pStyle w:val="BodyText"/>
              <w:tabs>
                <w:tab w:val="left" w:pos="90" w:leader="none"/>
                <w:tab w:val="left" w:pos="2025" w:leader="none"/>
              </w:tabs>
              <w:ind w:right="-1"/>
              <w:rPr>
                <w:b/>
                <w:bCs/>
              </w:rPr>
            </w:pPr>
            <w:r>
              <w:rPr>
                <w:b/>
                <w:bCs/>
              </w:rPr>
              <w:t>Глава администрации</w:t>
            </w:r>
          </w:p>
          <w:p>
            <w:pPr>
              <w:pStyle w:val="BodyText"/>
              <w:tabs>
                <w:tab w:val="left" w:pos="90" w:leader="none"/>
                <w:tab w:val="left" w:pos="2025" w:leader="none"/>
              </w:tabs>
              <w:ind w:right="-1"/>
              <w:rPr>
                <w:b/>
                <w:bCs/>
              </w:rPr>
            </w:pPr>
            <w:r>
              <w:rPr>
                <w:b/>
                <w:bCs/>
              </w:rPr>
              <w:t xml:space="preserve">Краснояружского района </w:t>
            </w:r>
          </w:p>
        </w:tc>
        <w:tc>
          <w:tcPr>
            <w:tcW w:w="4785" w:type="dxa"/>
            <w:tcBorders/>
          </w:tcPr>
          <w:p>
            <w:pPr>
              <w:pStyle w:val="BodyText"/>
              <w:tabs>
                <w:tab w:val="left" w:pos="90" w:leader="none"/>
                <w:tab w:val="left" w:pos="2025" w:leader="none"/>
              </w:tabs>
              <w:ind w:right="-1"/>
              <w:jc w:val="right"/>
              <w:rPr>
                <w:b/>
                <w:bCs/>
              </w:rPr>
            </w:pPr>
            <w:r>
              <w:rPr>
                <w:b/>
                <w:bCs/>
              </w:rPr>
            </w:r>
          </w:p>
          <w:p>
            <w:pPr>
              <w:pStyle w:val="BodyText"/>
              <w:tabs>
                <w:tab w:val="left" w:pos="90" w:leader="none"/>
                <w:tab w:val="left" w:pos="2025" w:leader="none"/>
              </w:tabs>
              <w:ind w:right="-1"/>
              <w:jc w:val="right"/>
              <w:rPr>
                <w:b/>
                <w:bCs/>
              </w:rPr>
            </w:pPr>
            <w:r>
              <w:rPr>
                <w:b/>
                <w:bCs/>
              </w:rPr>
              <w:t>В.В. Кутоманов</w:t>
            </w:r>
          </w:p>
        </w:tc>
      </w:tr>
    </w:tbl>
    <w:p>
      <w:pPr>
        <w:pStyle w:val="BodyText"/>
        <w:ind w:right="-1"/>
        <w:rPr>
          <w:b/>
          <w:bCs/>
        </w:rPr>
      </w:pPr>
      <w:r>
        <w:rPr>
          <w:b/>
          <w:bCs/>
        </w:rPr>
      </w:r>
    </w:p>
    <w:p>
      <w:pPr>
        <w:pStyle w:val="BodyText"/>
        <w:ind w:right="-1"/>
        <w:rPr>
          <w:b/>
          <w:bCs/>
          <w:sz w:val="26"/>
          <w:szCs w:val="26"/>
        </w:rPr>
      </w:pPr>
      <w:r>
        <w:rPr>
          <w:b/>
          <w:bCs/>
          <w:sz w:val="26"/>
          <w:szCs w:val="26"/>
        </w:rPr>
      </w:r>
    </w:p>
    <w:p>
      <w:pPr>
        <w:pStyle w:val="BodyText"/>
        <w:ind w:right="-1"/>
        <w:rPr>
          <w:b/>
          <w:bCs/>
          <w:sz w:val="26"/>
          <w:szCs w:val="26"/>
        </w:rPr>
      </w:pPr>
      <w:r>
        <w:rPr>
          <w:b/>
          <w:bCs/>
          <w:sz w:val="26"/>
          <w:szCs w:val="26"/>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Arial">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b w:val="false"/>
        <w:szCs w:val="28"/>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2b0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3">
    <w:name w:val="heading 3"/>
    <w:basedOn w:val="Normal"/>
    <w:next w:val="Normal"/>
    <w:qFormat/>
    <w:rsid w:val="00912b0c"/>
    <w:pPr>
      <w:keepNext w:val="true"/>
      <w:widowControl w:val="false"/>
      <w:tabs>
        <w:tab w:val="clear" w:pos="708"/>
        <w:tab w:val="left" w:pos="360" w:leader="none"/>
      </w:tabs>
      <w:spacing w:lineRule="auto" w:line="300"/>
      <w:ind w:left="180"/>
      <w:jc w:val="both"/>
      <w:outlineLvl w:val="2"/>
    </w:pPr>
    <w:rPr>
      <w:rFonts w:eastAsia="Arial Unicode MS" w:cs="Arial Unicode M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link w:val="BalloonText"/>
    <w:qFormat/>
    <w:rsid w:val="005759d9"/>
    <w:rPr>
      <w:rFonts w:ascii="Segoe UI" w:hAnsi="Segoe UI" w:cs="Segoe UI"/>
      <w:sz w:val="18"/>
      <w:szCs w:val="18"/>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912b0c"/>
    <w:pPr>
      <w:widowControl w:val="false"/>
      <w:tabs>
        <w:tab w:val="clear" w:pos="708"/>
        <w:tab w:val="left" w:pos="90" w:leader="none"/>
      </w:tabs>
      <w:jc w:val="both"/>
    </w:pPr>
    <w:rPr>
      <w:color w:val="000000"/>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b22ec4"/>
    <w:pPr>
      <w:widowControl w:val="false"/>
      <w:bidi w:val="0"/>
      <w:spacing w:before="0" w:after="0"/>
      <w:jc w:val="left"/>
    </w:pPr>
    <w:rPr>
      <w:rFonts w:ascii="Arial" w:hAnsi="Arial" w:eastAsia="Calibri" w:cs="Arial"/>
      <w:color w:val="auto"/>
      <w:kern w:val="0"/>
      <w:sz w:val="20"/>
      <w:szCs w:val="20"/>
      <w:lang w:val="ru-RU" w:eastAsia="ru-RU" w:bidi="ar-SA"/>
    </w:rPr>
  </w:style>
  <w:style w:type="paragraph" w:styleId="1" w:customStyle="1">
    <w:name w:val="Абзац списка1"/>
    <w:basedOn w:val="Normal"/>
    <w:qFormat/>
    <w:rsid w:val="00bb69fd"/>
    <w:pPr>
      <w:spacing w:lineRule="auto" w:line="276" w:before="0" w:after="200"/>
      <w:ind w:left="720"/>
      <w:contextualSpacing/>
    </w:pPr>
    <w:rPr>
      <w:rFonts w:ascii="Calibri" w:hAnsi="Calibri"/>
      <w:sz w:val="22"/>
      <w:szCs w:val="22"/>
      <w:lang w:eastAsia="en-US"/>
    </w:rPr>
  </w:style>
  <w:style w:type="paragraph" w:styleId="BalloonText">
    <w:name w:val="Balloon Text"/>
    <w:basedOn w:val="Normal"/>
    <w:link w:val="Style13"/>
    <w:qFormat/>
    <w:rsid w:val="005759d9"/>
    <w:pPr/>
    <w:rPr>
      <w:rFonts w:ascii="Segoe UI" w:hAnsi="Segoe UI"/>
      <w:sz w:val="18"/>
      <w:szCs w:val="18"/>
    </w:rPr>
  </w:style>
  <w:style w:type="paragraph" w:styleId="2" w:customStyle="1">
    <w:name w:val="Абзац списка2"/>
    <w:basedOn w:val="Normal"/>
    <w:qFormat/>
    <w:rsid w:val="009553a9"/>
    <w:pPr>
      <w:spacing w:lineRule="auto" w:line="276" w:before="0" w:after="200"/>
      <w:ind w:left="720"/>
      <w:contextualSpacing/>
    </w:pPr>
    <w:rPr>
      <w:rFonts w:ascii="Calibri" w:hAnsi="Calibri"/>
      <w:sz w:val="22"/>
      <w:szCs w:val="22"/>
      <w:lang w:eastAsia="en-US"/>
    </w:rPr>
  </w:style>
  <w:style w:type="paragraph" w:styleId="3" w:customStyle="1">
    <w:name w:val="Абзац списка3"/>
    <w:basedOn w:val="Normal"/>
    <w:qFormat/>
    <w:rsid w:val="00e626a3"/>
    <w:pPr>
      <w:spacing w:lineRule="auto" w:line="276" w:before="0" w:after="200"/>
      <w:ind w:left="720"/>
      <w:contextualSpacing/>
    </w:pPr>
    <w:rPr>
      <w:rFonts w:ascii="Calibri" w:hAnsi="Calibri"/>
      <w:sz w:val="22"/>
      <w:szCs w:val="22"/>
      <w:lang w:eastAsia="en-US"/>
    </w:rPr>
  </w:style>
  <w:style w:type="paragraph" w:styleId="4" w:customStyle="1">
    <w:name w:val="Абзац списка4"/>
    <w:basedOn w:val="Normal"/>
    <w:qFormat/>
    <w:rsid w:val="00a15494"/>
    <w:pPr>
      <w:spacing w:lineRule="auto" w:line="276" w:before="0" w:after="200"/>
      <w:ind w:left="720"/>
      <w:contextualSpacing/>
    </w:pPr>
    <w:rPr>
      <w:rFonts w:ascii="Calibri" w:hAnsi="Calibri"/>
      <w:sz w:val="22"/>
      <w:szCs w:val="22"/>
      <w:lang w:eastAsia="en-US"/>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rsid w:val="00912b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D9578-8372-4614-AEDB-C5081C31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LibreOffice/25.2.4.3$Windows_X86_64 LibreOffice_project/33e196637044ead23f5c3226cde09b47731f7e27</Application>
  <AppVersion>15.0000</AppVersion>
  <Pages>2</Pages>
  <Words>253</Words>
  <Characters>1808</Characters>
  <CharactersWithSpaces>2083</CharactersWithSpaces>
  <Paragraphs>21</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2025-07-22T08:05:00Z</dcterms:created>
  <dc:creator>Customer</dc:creator>
  <dc:description/>
  <dc:language>ru-RU</dc:language>
  <cp:lastModifiedBy>PC0325</cp:lastModifiedBy>
  <cp:lastPrinted>2025-04-16T02:02:00Z</cp:lastPrinted>
  <dcterms:modified xsi:type="dcterms:W3CDTF">2025-07-22T08:05:00Z</dcterms:modified>
  <cp:revision>2</cp:revision>
  <dc:subject/>
  <dc:title>Р О С С И Й С К А Я  Ф Е Д Е Р А Ц И Я</dc:title>
</cp:coreProperties>
</file>

<file path=docProps/custom.xml><?xml version="1.0" encoding="utf-8"?>
<Properties xmlns="http://schemas.openxmlformats.org/officeDocument/2006/custom-properties" xmlns:vt="http://schemas.openxmlformats.org/officeDocument/2006/docPropsVTypes"/>
</file>