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82" w:rsidRDefault="00673698">
      <w:pPr>
        <w:pStyle w:val="af9"/>
      </w:pPr>
      <w:r w:rsidRPr="00FF249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5" o:spid="_x0000_i1025" type="#_x0000_t75" style="width:36.75pt;height:46.5pt;visibility:visible;mso-wrap-style:square">
            <v:imagedata r:id="rId7" o:title=""/>
          </v:shape>
        </w:pict>
      </w:r>
    </w:p>
    <w:p w:rsidR="005F6782" w:rsidRDefault="00673698">
      <w:pPr>
        <w:pStyle w:val="af9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5F6782" w:rsidRDefault="006736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АДМИНИСТРАЦИИ РАКИТЯНСКОГО РАЙОНА</w:t>
      </w:r>
    </w:p>
    <w:p w:rsidR="005F6782" w:rsidRDefault="006736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БЕЛГОРОДСКОЙ ОБЛАСТИ</w:t>
      </w:r>
    </w:p>
    <w:p w:rsidR="005F6782" w:rsidRDefault="006736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Ракитное</w:t>
      </w:r>
    </w:p>
    <w:p w:rsidR="005F6782" w:rsidRDefault="00A7383E">
      <w:pPr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«01</w:t>
      </w:r>
      <w:r w:rsidR="0067369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октября</w:t>
      </w:r>
      <w:r w:rsidR="00673698">
        <w:rPr>
          <w:rFonts w:ascii="Times New Roman" w:hAnsi="Times New Roman"/>
          <w:sz w:val="28"/>
          <w:szCs w:val="28"/>
        </w:rPr>
        <w:t xml:space="preserve"> 2025 г.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111-п</w:t>
      </w:r>
    </w:p>
    <w:p w:rsidR="005F6782" w:rsidRDefault="005F678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F6782" w:rsidRDefault="005F678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F6782" w:rsidRDefault="005F6782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6782" w:rsidRDefault="00673698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внесении изменений в </w:t>
      </w:r>
    </w:p>
    <w:p w:rsidR="005F6782" w:rsidRDefault="00673698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административные регламенты </w:t>
      </w:r>
    </w:p>
    <w:p w:rsidR="005F6782" w:rsidRDefault="00673698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предоставления муниципальных</w:t>
      </w:r>
    </w:p>
    <w:p w:rsidR="005F6782" w:rsidRDefault="00673698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услуг </w:t>
      </w:r>
      <w:r>
        <w:rPr>
          <w:rFonts w:ascii="Times New Roman" w:hAnsi="Times New Roman"/>
          <w:b/>
          <w:bCs/>
          <w:sz w:val="27"/>
          <w:szCs w:val="27"/>
        </w:rPr>
        <w:t>учреждениями культуры</w:t>
      </w:r>
    </w:p>
    <w:p w:rsidR="005F6782" w:rsidRDefault="00673698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Ракитянского района </w:t>
      </w:r>
    </w:p>
    <w:p w:rsidR="005F6782" w:rsidRDefault="005F6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6782" w:rsidRDefault="005F6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6782" w:rsidRDefault="005F6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6782" w:rsidRDefault="006736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Федеральным законом от 31.07.2025 № 304-ФЗ «О внесении изменений в отдельные законодательные акты Российской Федерации», </w:t>
      </w:r>
      <w:r>
        <w:rPr>
          <w:rFonts w:ascii="Times New Roman" w:hAnsi="Times New Roman"/>
          <w:sz w:val="27"/>
          <w:szCs w:val="27"/>
        </w:rPr>
        <w:t xml:space="preserve">в целях приведения муниципальных нормативных правовых актов в сфере предоставления муниципальных услуг в соответствие с действующим законодательством, администрация Ракитянского района  </w:t>
      </w:r>
      <w:r>
        <w:rPr>
          <w:rFonts w:ascii="Times New Roman" w:hAnsi="Times New Roman"/>
          <w:b/>
          <w:bCs/>
          <w:sz w:val="27"/>
          <w:szCs w:val="27"/>
        </w:rPr>
        <w:t>п о с т а н о в л я е т: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Внести в административный регламент по пре</w:t>
      </w:r>
      <w:r>
        <w:rPr>
          <w:rFonts w:ascii="Times New Roman" w:hAnsi="Times New Roman"/>
          <w:sz w:val="27"/>
          <w:szCs w:val="27"/>
        </w:rPr>
        <w:t>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«Предоставление музейных услуг на территории муниципального района Ракитянский район»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района от 08 мая 2018 года № 69 «следующие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</w:t>
      </w:r>
      <w:r>
        <w:rPr>
          <w:rFonts w:ascii="Times New Roman" w:hAnsi="Times New Roman"/>
          <w:sz w:val="27"/>
          <w:szCs w:val="27"/>
        </w:rPr>
        <w:t>ункт 2.3 раздела 2 регламента дополнить абзацем следующего содержания 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</w:t>
      </w:r>
      <w:r>
        <w:rPr>
          <w:rFonts w:ascii="Times New Roman" w:hAnsi="Times New Roman"/>
          <w:sz w:val="27"/>
          <w:szCs w:val="27"/>
        </w:rPr>
        <w:t>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</w:t>
      </w:r>
      <w:r>
        <w:rPr>
          <w:rFonts w:ascii="Times New Roman" w:hAnsi="Times New Roman"/>
          <w:sz w:val="27"/>
          <w:szCs w:val="27"/>
        </w:rPr>
        <w:t>авлении государственной или муниципальной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Внести в административный регламент по предоставлению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«Поддержка традиционного художественного творчества на территории муниципального района «Ракитянский район»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</w:t>
      </w:r>
      <w:r>
        <w:rPr>
          <w:rFonts w:ascii="Times New Roman" w:hAnsi="Times New Roman"/>
          <w:sz w:val="27"/>
          <w:szCs w:val="27"/>
        </w:rPr>
        <w:t>новлением администрации Ракитянского района от 08 мая 2018 года № 69 «следующие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пункт 2.3 раздела 2 регламента дополнить абзацем следующего содержания «В случае отказа в предоставлении государственной или муниципальной услуги органы, предостав</w:t>
      </w:r>
      <w:r>
        <w:rPr>
          <w:rFonts w:ascii="Times New Roman" w:hAnsi="Times New Roman"/>
          <w:sz w:val="27"/>
          <w:szCs w:val="27"/>
        </w:rPr>
        <w:t>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</w:t>
      </w:r>
      <w:r>
        <w:rPr>
          <w:rFonts w:ascii="Times New Roman" w:hAnsi="Times New Roman"/>
          <w:sz w:val="27"/>
          <w:szCs w:val="27"/>
        </w:rPr>
        <w:t>ными нормативными правовыми актами требований, несоответствие которым повлекло отказ в предоставлении государственной или муниципальной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 Внести в административный регламент по предоставлению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«Предоставление информации об объ</w:t>
      </w:r>
      <w:r>
        <w:rPr>
          <w:rFonts w:ascii="Times New Roman" w:hAnsi="Times New Roman"/>
          <w:sz w:val="27"/>
          <w:szCs w:val="27"/>
        </w:rPr>
        <w:t>ектах культурного населения регионального или местного значения, находящихся на территории муниципального района «Ракитянский район» и включенных в единый государственный реестр объектов культурного наследия (памятников истории и культуры) народов Российск</w:t>
      </w:r>
      <w:r>
        <w:rPr>
          <w:rFonts w:ascii="Times New Roman" w:hAnsi="Times New Roman"/>
          <w:sz w:val="27"/>
          <w:szCs w:val="27"/>
        </w:rPr>
        <w:t>ой Федерации» на территории муниципального района Ракитянский район»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района от 08 мая 2018 года № 69 «следующие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пункт 2.3 раздела 2 регламента дополнить абзацем следующего содержания «В с</w:t>
      </w:r>
      <w:r>
        <w:rPr>
          <w:rFonts w:ascii="Times New Roman" w:hAnsi="Times New Roman"/>
          <w:sz w:val="27"/>
          <w:szCs w:val="27"/>
        </w:rPr>
        <w:t>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</w:t>
      </w:r>
      <w:r>
        <w:rPr>
          <w:rFonts w:ascii="Times New Roman" w:hAnsi="Times New Roman"/>
          <w:sz w:val="27"/>
          <w:szCs w:val="27"/>
        </w:rPr>
        <w:t>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 Внести в администрат</w:t>
      </w:r>
      <w:r>
        <w:rPr>
          <w:rFonts w:ascii="Times New Roman" w:hAnsi="Times New Roman"/>
          <w:sz w:val="27"/>
          <w:szCs w:val="27"/>
        </w:rPr>
        <w:t>ивный регламент по предоставлению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</w:t>
      </w:r>
      <w:r>
        <w:rPr>
          <w:rFonts w:ascii="Times New Roman" w:hAnsi="Times New Roman"/>
          <w:sz w:val="27"/>
          <w:szCs w:val="27"/>
        </w:rPr>
        <w:t>риятий» на территории муниципального района Ракитянский район»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района от 08 мая 2018 года № 69 «следующие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пункт 2.3 раздела 2 регламента дополнить абзацем следующего содержания «В случае </w:t>
      </w:r>
      <w:r>
        <w:rPr>
          <w:rFonts w:ascii="Times New Roman" w:hAnsi="Times New Roman"/>
          <w:sz w:val="27"/>
          <w:szCs w:val="27"/>
        </w:rPr>
        <w:t>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</w:t>
      </w:r>
      <w:r>
        <w:rPr>
          <w:rFonts w:ascii="Times New Roman" w:hAnsi="Times New Roman"/>
          <w:sz w:val="27"/>
          <w:szCs w:val="27"/>
        </w:rPr>
        <w:t xml:space="preserve">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5. Внести в административный </w:t>
      </w:r>
      <w:r>
        <w:rPr>
          <w:rFonts w:ascii="Times New Roman" w:hAnsi="Times New Roman"/>
          <w:sz w:val="27"/>
          <w:szCs w:val="27"/>
        </w:rPr>
        <w:t>регламент по предоставлению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«Предоставление доступа к справочно–поисковому аппарату и базам данных библиотек» на территории муниципального района Ракитянский район»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района от 08 м</w:t>
      </w:r>
      <w:r>
        <w:rPr>
          <w:rFonts w:ascii="Times New Roman" w:hAnsi="Times New Roman"/>
          <w:sz w:val="27"/>
          <w:szCs w:val="27"/>
        </w:rPr>
        <w:t>ая 2018 года № 69 «следующие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пункт 2.3 раздела 2 регламента дополнить абзацем следующего содержания «В случае отказа в предоставлении государственной или муниципальной услуги органы, предоставляющие указанные услуги, информируют заявителя о пр</w:t>
      </w:r>
      <w:r>
        <w:rPr>
          <w:rFonts w:ascii="Times New Roman" w:hAnsi="Times New Roman"/>
          <w:sz w:val="27"/>
          <w:szCs w:val="27"/>
        </w:rPr>
        <w:t>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</w:t>
      </w:r>
      <w:r>
        <w:rPr>
          <w:rFonts w:ascii="Times New Roman" w:hAnsi="Times New Roman"/>
          <w:sz w:val="27"/>
          <w:szCs w:val="27"/>
        </w:rPr>
        <w:t>ответствие которым повлекло отказ в предоставлении государственной или муниципальной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6. Внести в административный регламент по предоставлению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«Предоставление доступа к изданиям, переведенным в электронный вид, хранящимся в биб</w:t>
      </w:r>
      <w:r>
        <w:rPr>
          <w:rFonts w:ascii="Times New Roman" w:hAnsi="Times New Roman"/>
          <w:sz w:val="27"/>
          <w:szCs w:val="27"/>
        </w:rPr>
        <w:t>лиотеках, в том числе к фонду редких книг, с учетом соблюдения требований законодательства Российской Федерации об авторских и смежных правах» на территории муниципального района Ракитянский район»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</w:t>
      </w:r>
      <w:r>
        <w:rPr>
          <w:rFonts w:ascii="Times New Roman" w:hAnsi="Times New Roman"/>
          <w:sz w:val="27"/>
          <w:szCs w:val="27"/>
        </w:rPr>
        <w:t>йона от 08 мая 2018 года № 69 «следующие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пункт 2.3 раздела 2 регламента дополнить абзацем следующего содержания «В случае отказа в предоставлении государственной или муниципальной услуги органы, предоставляющие указанные услуги, информируют за</w:t>
      </w:r>
      <w:r>
        <w:rPr>
          <w:rFonts w:ascii="Times New Roman" w:hAnsi="Times New Roman"/>
          <w:sz w:val="27"/>
          <w:szCs w:val="27"/>
        </w:rPr>
        <w:t>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</w:t>
      </w:r>
      <w:r>
        <w:rPr>
          <w:rFonts w:ascii="Times New Roman" w:hAnsi="Times New Roman"/>
          <w:sz w:val="27"/>
          <w:szCs w:val="27"/>
        </w:rPr>
        <w:t>ований, несоответствие которым повлекло отказ в предоставлении государственной или муниципальной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7. Внести в административный регламент по предоставлению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«Прием заявлений, зачисление и обучение детей в музыкальных учреждениях </w:t>
      </w:r>
      <w:r>
        <w:rPr>
          <w:rFonts w:ascii="Times New Roman" w:hAnsi="Times New Roman"/>
          <w:sz w:val="27"/>
          <w:szCs w:val="27"/>
        </w:rPr>
        <w:t>дополнительного образования (детские школы искусств) на территории муниципального района «Ракитянский район»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района от 09 июля 2019 года № 94 «следующие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пункт 2.3 раздела 2 регламента доп</w:t>
      </w:r>
      <w:r>
        <w:rPr>
          <w:rFonts w:ascii="Times New Roman" w:hAnsi="Times New Roman"/>
          <w:sz w:val="27"/>
          <w:szCs w:val="27"/>
        </w:rPr>
        <w:t>олнить абзацем следующего содержания 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</w:t>
      </w:r>
      <w:r>
        <w:rPr>
          <w:rFonts w:ascii="Times New Roman" w:hAnsi="Times New Roman"/>
          <w:sz w:val="27"/>
          <w:szCs w:val="27"/>
        </w:rPr>
        <w:t xml:space="preserve">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</w:t>
      </w:r>
      <w:r>
        <w:rPr>
          <w:rFonts w:ascii="Times New Roman" w:hAnsi="Times New Roman"/>
          <w:sz w:val="27"/>
          <w:szCs w:val="27"/>
        </w:rPr>
        <w:t>ипальной услуги</w:t>
      </w:r>
      <w:r>
        <w:rPr>
          <w:rFonts w:ascii="Times New Roman" w:hAnsi="Times New Roman"/>
          <w:bCs/>
          <w:sz w:val="27"/>
          <w:szCs w:val="27"/>
        </w:rPr>
        <w:t>».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8. </w:t>
      </w:r>
      <w:r>
        <w:rPr>
          <w:rFonts w:ascii="Times New Roman" w:hAnsi="Times New Roman"/>
          <w:sz w:val="27"/>
          <w:szCs w:val="27"/>
        </w:rPr>
        <w:t>Внести в административный регламент по предоставлению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«Выдача задания на проведение работ по сохранению объекта культурного наследия местного значения, включённого в единый государственный реестр объектов культурно</w:t>
      </w:r>
      <w:r>
        <w:rPr>
          <w:rFonts w:ascii="Times New Roman" w:hAnsi="Times New Roman"/>
          <w:bCs/>
          <w:sz w:val="27"/>
          <w:szCs w:val="27"/>
        </w:rPr>
        <w:t>го наследия (памятников истории и культуры) народов Российской Федерации, выявленного объекта культурного наследия» на территории Ракитянского района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района от 26 февраля 2018 года № 17 следующие изме</w:t>
      </w:r>
      <w:r>
        <w:rPr>
          <w:rFonts w:ascii="Times New Roman" w:hAnsi="Times New Roman"/>
          <w:sz w:val="27"/>
          <w:szCs w:val="27"/>
        </w:rPr>
        <w:t>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пункт 2.3 раздела 2 регламента дополнить абзацем следующего содержания 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</w:t>
      </w:r>
      <w:r>
        <w:rPr>
          <w:rFonts w:ascii="Times New Roman" w:hAnsi="Times New Roman"/>
          <w:sz w:val="27"/>
          <w:szCs w:val="27"/>
        </w:rPr>
        <w:t>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</w:t>
      </w:r>
      <w:r>
        <w:rPr>
          <w:rFonts w:ascii="Times New Roman" w:hAnsi="Times New Roman"/>
          <w:sz w:val="27"/>
          <w:szCs w:val="27"/>
        </w:rPr>
        <w:t xml:space="preserve"> в предоставлении государственной или муниципальной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9. </w:t>
      </w:r>
      <w:r>
        <w:rPr>
          <w:rFonts w:ascii="Times New Roman" w:hAnsi="Times New Roman"/>
          <w:sz w:val="27"/>
          <w:szCs w:val="27"/>
        </w:rPr>
        <w:t>Внести в административный регламент по предоставлению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 xml:space="preserve"> «Выдача разрешения на </w:t>
      </w:r>
      <w:r>
        <w:rPr>
          <w:rFonts w:ascii="Times New Roman" w:hAnsi="Times New Roman"/>
          <w:bCs/>
          <w:sz w:val="27"/>
          <w:szCs w:val="27"/>
        </w:rPr>
        <w:t>проведение работ по сохранению объекта культурного наследия местного значения, включённого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наследия»</w:t>
      </w:r>
      <w:r>
        <w:rPr>
          <w:rFonts w:ascii="Times New Roman" w:hAnsi="Times New Roman"/>
          <w:bCs/>
          <w:sz w:val="27"/>
          <w:szCs w:val="27"/>
        </w:rPr>
        <w:t xml:space="preserve"> на территории Ракитянского района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района от 26 февраля 2018 года № 17 «следующие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пункт 2.3 раздела 2 регламента дополнить абзацем следующего содержания «В случае отказа в предоставлении </w:t>
      </w:r>
      <w:r>
        <w:rPr>
          <w:rFonts w:ascii="Times New Roman" w:hAnsi="Times New Roman"/>
          <w:sz w:val="27"/>
          <w:szCs w:val="27"/>
        </w:rPr>
        <w:t>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</w:t>
      </w:r>
      <w:r>
        <w:rPr>
          <w:rFonts w:ascii="Times New Roman" w:hAnsi="Times New Roman"/>
          <w:sz w:val="27"/>
          <w:szCs w:val="27"/>
        </w:rPr>
        <w:t>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10. </w:t>
      </w:r>
      <w:r>
        <w:rPr>
          <w:rFonts w:ascii="Times New Roman" w:hAnsi="Times New Roman"/>
          <w:sz w:val="27"/>
          <w:szCs w:val="27"/>
        </w:rPr>
        <w:t>Внести в административный регламент по предоставл</w:t>
      </w:r>
      <w:r>
        <w:rPr>
          <w:rFonts w:ascii="Times New Roman" w:hAnsi="Times New Roman"/>
          <w:sz w:val="27"/>
          <w:szCs w:val="27"/>
        </w:rPr>
        <w:t>ению муниципальной услуги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«Согласование проектной документации на проведение работ по сохранению объекта культурного наследия местного значения, включенного в единый государственный реестр объектов культурного наследия (памятников истории и культуры) народ</w:t>
      </w:r>
      <w:r>
        <w:rPr>
          <w:rFonts w:ascii="Times New Roman" w:hAnsi="Times New Roman"/>
          <w:bCs/>
          <w:sz w:val="27"/>
          <w:szCs w:val="27"/>
        </w:rPr>
        <w:t>ов Российской Федерации, выявленного объекта культурного наследия» на территории Ракитянского района</w:t>
      </w:r>
      <w:r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утвержденный постановлением администрации Ракитянского района от 26 февраля 2018 года № 17 следующие изменения: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пункт 2.3 раздела 2 регламента дополнить</w:t>
      </w:r>
      <w:r>
        <w:rPr>
          <w:rFonts w:ascii="Times New Roman" w:hAnsi="Times New Roman"/>
          <w:sz w:val="27"/>
          <w:szCs w:val="27"/>
        </w:rPr>
        <w:t xml:space="preserve"> абзацем следующего содержания «В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</w:t>
      </w:r>
      <w:r>
        <w:rPr>
          <w:rFonts w:ascii="Times New Roman" w:hAnsi="Times New Roman"/>
          <w:sz w:val="27"/>
          <w:szCs w:val="27"/>
        </w:rPr>
        <w:t>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</w:t>
      </w:r>
      <w:r>
        <w:rPr>
          <w:rFonts w:ascii="Times New Roman" w:hAnsi="Times New Roman"/>
          <w:sz w:val="27"/>
          <w:szCs w:val="27"/>
        </w:rPr>
        <w:t>ой услуги»</w:t>
      </w:r>
      <w:r>
        <w:rPr>
          <w:rFonts w:ascii="Times New Roman" w:hAnsi="Times New Roman"/>
          <w:bCs/>
          <w:sz w:val="27"/>
          <w:szCs w:val="27"/>
        </w:rPr>
        <w:t>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11.</w:t>
      </w:r>
      <w:r w:rsidRPr="00673698">
        <w:rPr>
          <w:rFonts w:ascii="Times New Roman" w:hAnsi="Times New Roman"/>
          <w:color w:val="000000"/>
          <w:sz w:val="27"/>
          <w:szCs w:val="27"/>
        </w:rPr>
        <w:t xml:space="preserve"> Настоящее постановление вступает в силу со дня его официального опубликования.</w:t>
      </w:r>
    </w:p>
    <w:p w:rsidR="005F6782" w:rsidRDefault="006736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12. Контроль за исполнением нас</w:t>
      </w:r>
      <w:r>
        <w:rPr>
          <w:rFonts w:ascii="Times New Roman" w:hAnsi="Times New Roman"/>
          <w:sz w:val="27"/>
          <w:szCs w:val="27"/>
        </w:rPr>
        <w:t>тоящего постановления возложить на заместителя главы администрации района по социальной политике                      Р.А. Холодову.</w:t>
      </w:r>
    </w:p>
    <w:p w:rsidR="005F6782" w:rsidRDefault="005F6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6782" w:rsidRDefault="005F6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6782" w:rsidRDefault="005F6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7383E" w:rsidRDefault="00A7383E" w:rsidP="00A7383E">
      <w:pPr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Исполняющая полномочия</w:t>
      </w:r>
    </w:p>
    <w:p w:rsidR="00A7383E" w:rsidRDefault="00A7383E" w:rsidP="00A7383E">
      <w:pPr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7"/>
          <w:szCs w:val="27"/>
        </w:rPr>
        <w:t>г</w:t>
      </w:r>
      <w:r w:rsidR="00673698">
        <w:rPr>
          <w:rFonts w:ascii="Times New Roman" w:hAnsi="Times New Roman"/>
          <w:b/>
          <w:bCs/>
          <w:sz w:val="27"/>
          <w:szCs w:val="27"/>
        </w:rPr>
        <w:t>лавы</w:t>
      </w:r>
      <w:r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673698">
        <w:rPr>
          <w:rFonts w:ascii="Times New Roman" w:hAnsi="Times New Roman"/>
          <w:b/>
          <w:bCs/>
          <w:sz w:val="27"/>
          <w:szCs w:val="27"/>
        </w:rPr>
        <w:t xml:space="preserve">администрации </w:t>
      </w:r>
    </w:p>
    <w:p w:rsidR="005F6782" w:rsidRDefault="00673698" w:rsidP="00A7383E">
      <w:pPr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Ракитянского</w:t>
      </w:r>
      <w:r w:rsidR="00A7383E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 xml:space="preserve">района                    </w:t>
      </w:r>
      <w:r w:rsidR="00A7383E">
        <w:rPr>
          <w:rFonts w:ascii="Times New Roman" w:hAnsi="Times New Roman"/>
          <w:b/>
          <w:bCs/>
          <w:sz w:val="27"/>
          <w:szCs w:val="27"/>
        </w:rPr>
        <w:t xml:space="preserve">                           </w:t>
      </w:r>
      <w:r>
        <w:rPr>
          <w:rFonts w:ascii="Times New Roman" w:hAnsi="Times New Roman"/>
          <w:b/>
          <w:bCs/>
          <w:sz w:val="27"/>
          <w:szCs w:val="27"/>
        </w:rPr>
        <w:t xml:space="preserve">                         </w:t>
      </w:r>
      <w:r>
        <w:rPr>
          <w:rFonts w:ascii="Times New Roman" w:hAnsi="Times New Roman"/>
          <w:b/>
          <w:bCs/>
          <w:sz w:val="27"/>
          <w:szCs w:val="27"/>
        </w:rPr>
        <w:t xml:space="preserve">В.А. Мовчан </w:t>
      </w:r>
    </w:p>
    <w:p w:rsidR="005F6782" w:rsidRDefault="005F67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6782" w:rsidRDefault="005F6782">
      <w:pPr>
        <w:spacing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F6782" w:rsidRDefault="005F6782">
      <w:pPr>
        <w:jc w:val="both"/>
        <w:rPr>
          <w:rFonts w:ascii="Times New Roman" w:hAnsi="Times New Roman"/>
          <w:sz w:val="27"/>
          <w:szCs w:val="27"/>
        </w:rPr>
      </w:pPr>
    </w:p>
    <w:p w:rsidR="005F6782" w:rsidRDefault="005F6782" w:rsidP="00A7383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sectPr w:rsidR="005F6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698" w:rsidRDefault="00673698">
      <w:pPr>
        <w:spacing w:after="0" w:line="240" w:lineRule="auto"/>
      </w:pPr>
      <w:r>
        <w:separator/>
      </w:r>
    </w:p>
  </w:endnote>
  <w:endnote w:type="continuationSeparator" w:id="0">
    <w:p w:rsidR="00673698" w:rsidRDefault="0067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82" w:rsidRDefault="005F678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82" w:rsidRDefault="005F678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82" w:rsidRDefault="005F67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698" w:rsidRDefault="00673698">
      <w:pPr>
        <w:spacing w:after="0" w:line="240" w:lineRule="auto"/>
      </w:pPr>
      <w:r>
        <w:separator/>
      </w:r>
    </w:p>
  </w:footnote>
  <w:footnote w:type="continuationSeparator" w:id="0">
    <w:p w:rsidR="00673698" w:rsidRDefault="00673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82" w:rsidRDefault="005F67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82" w:rsidRDefault="0067369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83E">
      <w:rPr>
        <w:noProof/>
      </w:rPr>
      <w:t>5</w:t>
    </w:r>
    <w:r>
      <w:fldChar w:fldCharType="end"/>
    </w:r>
  </w:p>
  <w:p w:rsidR="005F6782" w:rsidRDefault="005F678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82" w:rsidRDefault="005F67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AF5"/>
    <w:multiLevelType w:val="multilevel"/>
    <w:tmpl w:val="DF0A3AC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</w:abstractNum>
  <w:abstractNum w:abstractNumId="1" w15:restartNumberingAfterBreak="0">
    <w:nsid w:val="771108D4"/>
    <w:multiLevelType w:val="hybridMultilevel"/>
    <w:tmpl w:val="C39E1DCE"/>
    <w:lvl w:ilvl="0" w:tplc="F000C72A">
      <w:start w:val="1"/>
      <w:numFmt w:val="decimal"/>
      <w:lvlText w:val="%1)"/>
      <w:lvlJc w:val="left"/>
      <w:pPr>
        <w:tabs>
          <w:tab w:val="num" w:pos="-1066"/>
        </w:tabs>
        <w:ind w:left="1070" w:hanging="360"/>
      </w:pPr>
      <w:rPr>
        <w:rFonts w:cs="Times New Roman"/>
      </w:rPr>
    </w:lvl>
    <w:lvl w:ilvl="1" w:tplc="31F875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C48B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C5253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061D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A4F9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4CE0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7A69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0AB4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782"/>
    <w:rsid w:val="005F6782"/>
    <w:rsid w:val="00673698"/>
    <w:rsid w:val="00A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0802"/>
  <w15:docId w15:val="{94538764-42E6-4209-9705-4BF252F9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9">
    <w:name w:val="Название"/>
    <w:basedOn w:val="a"/>
    <w:link w:val="afa"/>
    <w:qFormat/>
    <w:pPr>
      <w:widowControl w:val="0"/>
      <w:spacing w:after="0"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link w:val="af9"/>
    <w:rPr>
      <w:rFonts w:ascii="Times New Roman" w:hAnsi="Times New Roman" w:cs="Times New Roman"/>
      <w:b/>
      <w:bCs/>
      <w:sz w:val="28"/>
      <w:szCs w:val="28"/>
    </w:rPr>
  </w:style>
  <w:style w:type="paragraph" w:styleId="afb">
    <w:name w:val="Balloon Text"/>
    <w:basedOn w:val="a"/>
    <w:link w:val="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rPr>
      <w:rFonts w:cs="Times New Roman"/>
    </w:rPr>
  </w:style>
  <w:style w:type="character" w:customStyle="1" w:styleId="ad">
    <w:name w:val="Нижний колонтитул Знак"/>
    <w:link w:val="ac"/>
    <w:semiHidden/>
    <w:rPr>
      <w:rFonts w:cs="Times New Roman"/>
    </w:rPr>
  </w:style>
  <w:style w:type="paragraph" w:styleId="afd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Body Text Indent"/>
    <w:basedOn w:val="a"/>
    <w:link w:val="aff"/>
    <w:pPr>
      <w:spacing w:after="0" w:line="240" w:lineRule="auto"/>
      <w:ind w:left="360"/>
    </w:pPr>
    <w:rPr>
      <w:rFonts w:ascii="Arial" w:hAnsi="Arial" w:cs="Arial"/>
      <w:szCs w:val="24"/>
    </w:rPr>
  </w:style>
  <w:style w:type="character" w:customStyle="1" w:styleId="aff">
    <w:name w:val="Основной текст с отступом Знак"/>
    <w:link w:val="afe"/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styleId="aff0">
    <w:name w:val="Strong"/>
    <w:qFormat/>
    <w:rPr>
      <w:b/>
    </w:rPr>
  </w:style>
  <w:style w:type="paragraph" w:styleId="aff1">
    <w:name w:val="No Spacing"/>
    <w:rPr>
      <w:rFonts w:ascii="Times New Roman" w:hAnsi="Times New Roman"/>
      <w:sz w:val="24"/>
      <w:szCs w:val="24"/>
    </w:rPr>
  </w:style>
  <w:style w:type="paragraph" w:styleId="aff2">
    <w:name w:val="Body Text"/>
    <w:basedOn w:val="a"/>
    <w:link w:val="aff3"/>
    <w:pPr>
      <w:spacing w:after="120"/>
    </w:pPr>
  </w:style>
  <w:style w:type="character" w:customStyle="1" w:styleId="aff3">
    <w:name w:val="Основной текст Знак"/>
    <w:link w:val="aff2"/>
    <w:rPr>
      <w:rFonts w:cs="Times New Roman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after="0" w:line="288" w:lineRule="auto"/>
      <w:ind w:left="2040" w:hanging="480"/>
      <w:jc w:val="both"/>
    </w:pPr>
    <w:rPr>
      <w:rFonts w:ascii="Georgia" w:hAnsi="Georgia"/>
      <w:sz w:val="24"/>
      <w:szCs w:val="24"/>
    </w:rPr>
  </w:style>
  <w:style w:type="character" w:customStyle="1" w:styleId="Pro-List1">
    <w:name w:val="Pro-List #1 Знак Знак"/>
    <w:link w:val="Pro-List10"/>
    <w:rPr>
      <w:rFonts w:ascii="Georgia" w:hAnsi="Georgia"/>
      <w:sz w:val="24"/>
    </w:rPr>
  </w:style>
  <w:style w:type="paragraph" w:customStyle="1" w:styleId="Pro-List10">
    <w:name w:val="Pro-List #1"/>
    <w:basedOn w:val="a"/>
    <w:link w:val="Pro-List1"/>
    <w:pPr>
      <w:tabs>
        <w:tab w:val="left" w:pos="1134"/>
      </w:tabs>
      <w:spacing w:before="180" w:after="0" w:line="288" w:lineRule="auto"/>
      <w:ind w:left="1134" w:hanging="295"/>
      <w:jc w:val="both"/>
    </w:pPr>
    <w:rPr>
      <w:rFonts w:ascii="Georgia" w:hAnsi="Georgia"/>
      <w:sz w:val="24"/>
      <w:szCs w:val="20"/>
      <w:lang w:val="en-US" w:eastAsia="en-US"/>
    </w:rPr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color w:val="26282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1641</Words>
  <Characters>9359</Characters>
  <Application>Microsoft Office Word</Application>
  <DocSecurity>0</DocSecurity>
  <Lines>77</Lines>
  <Paragraphs>21</Paragraphs>
  <ScaleCrop>false</ScaleCrop>
  <Company>Microsoft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Юрист 2</cp:lastModifiedBy>
  <cp:revision>59</cp:revision>
  <dcterms:created xsi:type="dcterms:W3CDTF">2013-06-13T05:42:00Z</dcterms:created>
  <dcterms:modified xsi:type="dcterms:W3CDTF">2025-10-24T05:40:00Z</dcterms:modified>
  <cp:version>1048576</cp:version>
</cp:coreProperties>
</file>