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0"/>
          <w:szCs w:val="20"/>
          <w:lang w:val="en-US"/>
        </w:rPr>
      </w:pPr>
      <w:r>
        <w:rPr/>
        <w:drawing>
          <wp:inline distT="0" distB="0" distL="0" distR="0">
            <wp:extent cx="552450" cy="6096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2"/>
          <w:szCs w:val="20"/>
        </w:rPr>
      </w:pPr>
      <w:r>
        <w:rPr>
          <w:rFonts w:eastAsia="Times New Roman" w:cs="Times New Roman" w:ascii="Times New Roman" w:hAnsi="Times New Roman"/>
          <w:b/>
          <w:sz w:val="32"/>
          <w:szCs w:val="20"/>
        </w:rPr>
        <w:t xml:space="preserve">КРАСНОЯРУЖСКАЯ ТЕРРИТОРИАЛЬНАЯ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32"/>
          <w:szCs w:val="20"/>
        </w:rPr>
      </w:pPr>
      <w:r>
        <w:rPr>
          <w:rFonts w:eastAsia="Times New Roman" w:cs="Times New Roman" w:ascii="Times New Roman" w:hAnsi="Times New Roman"/>
          <w:b/>
          <w:sz w:val="32"/>
          <w:szCs w:val="20"/>
        </w:rPr>
        <w:t>ИЗБИРАТЕЛЬНАЯ КОМИССИЯ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pacing w:val="60"/>
          <w:sz w:val="32"/>
          <w:szCs w:val="20"/>
        </w:rPr>
      </w:pPr>
      <w:r>
        <w:rPr>
          <w:rFonts w:eastAsia="Times New Roman" w:cs="Times New Roman" w:ascii="Times New Roman" w:hAnsi="Times New Roman"/>
          <w:b/>
          <w:spacing w:val="60"/>
          <w:sz w:val="32"/>
          <w:szCs w:val="20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tbl>
      <w:tblPr>
        <w:tblW w:w="9463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27"/>
        <w:gridCol w:w="2529"/>
        <w:gridCol w:w="3107"/>
      </w:tblGrid>
      <w:tr>
        <w:trPr/>
        <w:tc>
          <w:tcPr>
            <w:tcW w:w="38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«17» марта 2025 года</w:t>
            </w:r>
          </w:p>
        </w:tc>
        <w:tc>
          <w:tcPr>
            <w:tcW w:w="25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7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№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50/369-1</w:t>
            </w:r>
          </w:p>
        </w:tc>
      </w:tr>
    </w:tbl>
    <w:p>
      <w:pPr>
        <w:pStyle w:val="Normal"/>
        <w:spacing w:lineRule="auto" w:line="240" w:before="0" w:after="0"/>
        <w:ind w:right="-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п. Красная Яруга</w:t>
      </w:r>
    </w:p>
    <w:p>
      <w:pPr>
        <w:pStyle w:val="BodyText21"/>
        <w:widowControl/>
        <w:tabs>
          <w:tab w:val="clear" w:pos="708"/>
          <w:tab w:val="left" w:pos="-3402" w:leader="none"/>
        </w:tabs>
        <w:ind w:right="3685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0" w:leader="none"/>
          <w:tab w:val="left" w:pos="9355" w:leader="none"/>
        </w:tabs>
        <w:spacing w:lineRule="auto" w:line="240" w:before="0" w:after="0"/>
        <w:ind w:right="3544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Об определении перечня 5 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en-US"/>
        </w:rPr>
        <w:t>частей территории Краснояружского муниципального округа Белгородской области, которым должны соответствовать территориальные группы кандидатов единого списка кандидатов избирательного объединения на выборах депутатов Совета депутатов Краснояружского муниципального округа Белгородской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соответствии с частью 11 статьи 23 Избирательного кодекса Белгородской области, Краснояружская территориальная избирательная комиссия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постановляет: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>1. Определить перечень 5 частей территории Краснояружского муниципального округа Белгородской области, которым должны соответствовать территориальные группы кандидатов единого списка кандидатов избирательного объединения на выборах депутатов Совета депутатов Краснояружского муниципального округа Белгородской области и его графическое изображение (приложения №№ 1-2)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851" w:left="-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Направить настоящее постановления для опубликования в межрайонную газету «Наша жизнь», сетевое издание «Наша жизнь 31» и р</w:t>
      </w:r>
      <w:r>
        <w:rPr>
          <w:rFonts w:eastAsia="Times New Roman" w:cs="Times New Roman" w:ascii="Times New Roman" w:hAnsi="Times New Roman"/>
          <w:sz w:val="28"/>
          <w:szCs w:val="28"/>
        </w:rPr>
        <w:t>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>
      <w:pPr>
        <w:pStyle w:val="Normal"/>
        <w:widowControl w:val="false"/>
        <w:spacing w:lineRule="auto" w:line="240" w:before="0" w:after="120"/>
        <w:ind w:firstLine="709" w:left="-284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председателя ТИК Бондаря А.И.  </w:t>
      </w:r>
    </w:p>
    <w:p>
      <w:pPr>
        <w:pStyle w:val="Normal"/>
        <w:widowControl w:val="false"/>
        <w:spacing w:lineRule="auto" w:line="240" w:before="0" w:after="12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4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68"/>
        <w:gridCol w:w="1843"/>
        <w:gridCol w:w="2836"/>
      </w:tblGrid>
      <w:tr>
        <w:trPr>
          <w:trHeight w:val="920" w:hRule="atLeast"/>
        </w:trPr>
        <w:tc>
          <w:tcPr>
            <w:tcW w:w="4768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Краснояружской территориальной избирательной комиссии</w:t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836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А.И.Бондарь</w:t>
            </w:r>
          </w:p>
        </w:tc>
      </w:tr>
      <w:tr>
        <w:trPr>
          <w:trHeight w:val="65" w:hRule="atLeast"/>
        </w:trPr>
        <w:tc>
          <w:tcPr>
            <w:tcW w:w="4768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6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2" w:hRule="atLeast"/>
        </w:trPr>
        <w:tc>
          <w:tcPr>
            <w:tcW w:w="4768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Секретарь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Краснояружской территориальной избирательной комиссии</w:t>
            </w:r>
          </w:p>
        </w:tc>
        <w:tc>
          <w:tcPr>
            <w:tcW w:w="1843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836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С.Н.Шапошникова</w:t>
            </w:r>
          </w:p>
        </w:tc>
      </w:tr>
    </w:tbl>
    <w:p>
      <w:pPr>
        <w:pStyle w:val="BodyTextIndent"/>
        <w:numPr>
          <w:ilvl w:val="0"/>
          <w:numId w:val="0"/>
        </w:numPr>
        <w:spacing w:before="0" w:after="0"/>
        <w:ind w:hanging="0" w:left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type w:val="nextPage"/>
          <w:pgSz w:w="11906" w:h="16838"/>
          <w:pgMar w:left="1418" w:right="850" w:gutter="0" w:header="0" w:top="709" w:footer="0" w:bottom="709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7"/>
        <w:tblW w:w="98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3"/>
        <w:gridCol w:w="5245"/>
      </w:tblGrid>
      <w:tr>
        <w:trPr/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Приложение №1</w:t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1310" w:left="13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 постановлению</w:t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Краснояружской территориальной</w:t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избирательной комиссии </w:t>
            </w:r>
          </w:p>
          <w:p>
            <w:pPr>
              <w:pStyle w:val="Normal"/>
              <w:widowControl/>
              <w:spacing w:lineRule="auto" w:line="240" w:before="0" w:after="0"/>
              <w:ind w:firstLine="851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от «17» марта 2025 года № 50/369-1  </w:t>
            </w:r>
          </w:p>
          <w:p>
            <w:pPr>
              <w:pStyle w:val="Normal"/>
              <w:widowControl/>
              <w:spacing w:lineRule="auto" w:line="240" w:before="0" w:after="0"/>
              <w:ind w:firstLine="42"/>
              <w:jc w:val="center"/>
              <w:rPr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en-US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en-US"/>
        </w:rPr>
        <w:t xml:space="preserve">5 частей территории Краснояружского муниципального округа Белгородской области, которым должны соответствовать территориальные группы кандидатов единого списка кандидатов избирательного объединения на выборах депутатов Совета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en-US"/>
        </w:rPr>
        <w:t>Краснояружского муниципального округа Белгородской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en-US"/>
        </w:rPr>
        <w:t xml:space="preserve">Часть №1 (Краснояружская)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соответствует территории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 xml:space="preserve">Краснояружского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одномандатного избирательного округа №1.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en-US"/>
        </w:rPr>
        <w:t xml:space="preserve">Часть №2 (Краснояружская)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соответствует территории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>Краснояружского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одномандатного избирательного округа №2.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en-US"/>
        </w:rPr>
        <w:t>Часть №3</w:t>
      </w:r>
      <w:r>
        <w:rPr>
          <w:rFonts w:eastAsia="Calibri" w:cs="Times New Roman"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en-US"/>
        </w:rPr>
        <w:t xml:space="preserve">(Краснояружская)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соответствует территории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>Краснояружского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одномандатного избирательного округа №3.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en-US"/>
        </w:rPr>
        <w:t>Часть №4 (Репяховская)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соответствует территории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>Репяховского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одномандатного избирательного округа №4.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en-US"/>
        </w:rPr>
        <w:t>Часть №5 (Сергиевская)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соответствует территории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lang w:eastAsia="en-US"/>
        </w:rPr>
        <w:t>Сергиевского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  <w:t xml:space="preserve"> одномандатного избирательного округа №5.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right="425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7"/>
        <w:tblW w:w="91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46"/>
        <w:gridCol w:w="4997"/>
      </w:tblGrid>
      <w:tr>
        <w:trPr/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napToGrid w:val="false"/>
              <w:spacing w:lineRule="auto" w:line="240" w:before="0" w:after="0"/>
              <w:ind w:firstLine="8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Приложение №2</w:t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 постановлению</w:t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Краснояружской территориальной</w:t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избирательной комиссии </w:t>
            </w:r>
          </w:p>
          <w:p>
            <w:pPr>
              <w:pStyle w:val="Normal"/>
              <w:widowControl/>
              <w:shd w:val="clear" w:color="auto" w:fill="FFFFFF"/>
              <w:snapToGrid w:val="false"/>
              <w:spacing w:lineRule="auto" w:line="240" w:before="0" w:after="0"/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от «17» марта 2025 года № 50/369-1  </w:t>
            </w:r>
          </w:p>
          <w:p>
            <w:pPr>
              <w:pStyle w:val="Normal"/>
              <w:widowControl/>
              <w:snapToGrid w:val="false"/>
              <w:spacing w:lineRule="auto" w:line="240" w:before="0" w:after="0"/>
              <w:ind w:firstLine="8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40" w:before="0" w:after="0"/>
        <w:ind w:right="-3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Графическое изображение определяемого перечня 5 частей </w:t>
      </w:r>
    </w:p>
    <w:p>
      <w:pPr>
        <w:pStyle w:val="Normal"/>
        <w:spacing w:lineRule="auto" w:line="240" w:before="0" w:after="0"/>
        <w:ind w:right="-3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территории Краснояружского муниципального округа Белгородской области, которым должны соответствовать территориальные группы кандидатов единого списка кандидатов избирательного объединения на выборах депутатов Совета депутатов Краснояружского муниципального округа Белгородской области</w:t>
      </w:r>
    </w:p>
    <w:p>
      <w:pPr>
        <w:pStyle w:val="Normal"/>
        <w:spacing w:lineRule="auto" w:line="240" w:before="0" w:after="0"/>
        <w:ind w:right="-3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Web"/>
        <w:spacing w:before="280" w:after="280"/>
        <w:rPr/>
      </w:pPr>
      <w:r>
        <w:rPr/>
        <w:drawing>
          <wp:inline distT="0" distB="0" distL="0" distR="0">
            <wp:extent cx="5505450" cy="5732780"/>
            <wp:effectExtent l="0" t="0" r="0" b="0"/>
            <wp:docPr id="2" name="Рисунок 1" descr="E:\Мои документы\тик\выборы 25\карта-тергруппа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E:\Мои документы\тик\выборы 25\карта-тергруппа6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73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Численность избирателей по состоянию на 01.01.2025 года – 11165 чел.</w:t>
      </w:r>
    </w:p>
    <w:p>
      <w:pPr>
        <w:pStyle w:val="Normal"/>
        <w:spacing w:lineRule="auto" w:line="240" w:before="0"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Среднее количество избирателей в части территории Краснояружского муниципального округа – 2233 чел.</w:t>
      </w:r>
    </w:p>
    <w:p>
      <w:pPr>
        <w:pStyle w:val="Normal"/>
        <w:spacing w:lineRule="auto" w:line="240" w:before="0" w:after="0"/>
        <w:ind w:right="-31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 xml:space="preserve">Часть №1 (Краснояружская): округ №1,     численность - </w:t>
      </w:r>
      <w:r>
        <w:rPr>
          <w:rFonts w:cs="Times New Roman" w:ascii="Times New Roman" w:hAnsi="Times New Roman"/>
          <w:sz w:val="24"/>
          <w:szCs w:val="24"/>
        </w:rPr>
        <w:t>2201 (-1,43%)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>
      <w:pPr>
        <w:pStyle w:val="Normal"/>
        <w:spacing w:lineRule="auto" w:line="240" w:before="0"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 xml:space="preserve">Часть №2 (Краснояружская): округ №2,     численность - </w:t>
      </w:r>
      <w:r>
        <w:rPr>
          <w:rFonts w:cs="Times New Roman" w:ascii="Times New Roman" w:hAnsi="Times New Roman"/>
          <w:sz w:val="24"/>
          <w:szCs w:val="24"/>
        </w:rPr>
        <w:t>2217 (-0,72%)</w:t>
      </w:r>
    </w:p>
    <w:p>
      <w:pPr>
        <w:pStyle w:val="Normal"/>
        <w:spacing w:lineRule="auto" w:line="240" w:before="0"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 xml:space="preserve">Часть №3 (Краснояружская): округ №3,     численность - </w:t>
      </w:r>
      <w:r>
        <w:rPr>
          <w:rFonts w:cs="Times New Roman" w:ascii="Times New Roman" w:hAnsi="Times New Roman"/>
          <w:sz w:val="24"/>
          <w:szCs w:val="24"/>
        </w:rPr>
        <w:t>2132 (-4,52%)</w:t>
      </w:r>
    </w:p>
    <w:p>
      <w:pPr>
        <w:pStyle w:val="Normal"/>
        <w:spacing w:lineRule="auto" w:line="240" w:before="0"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>Часть №4 (Репяховская):         округ №4,     численность -</w:t>
      </w:r>
      <w:r>
        <w:rPr>
          <w:rFonts w:cs="Times New Roman" w:ascii="Times New Roman" w:hAnsi="Times New Roman"/>
          <w:sz w:val="24"/>
          <w:szCs w:val="24"/>
        </w:rPr>
        <w:t xml:space="preserve"> 2201 (-1,43%)</w:t>
      </w:r>
    </w:p>
    <w:p>
      <w:pPr>
        <w:pStyle w:val="Normal"/>
        <w:spacing w:lineRule="auto" w:line="240" w:before="0"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eastAsia="en-US"/>
        </w:rPr>
        <w:t xml:space="preserve">Часть №5 (Сергиевская):         округ №5,     численность - </w:t>
      </w:r>
      <w:r>
        <w:rPr>
          <w:rFonts w:cs="Times New Roman" w:ascii="Times New Roman" w:hAnsi="Times New Roman"/>
          <w:sz w:val="24"/>
          <w:szCs w:val="24"/>
        </w:rPr>
        <w:t>2414 (+8,11%)</w:t>
      </w:r>
    </w:p>
    <w:sectPr>
      <w:type w:val="nextPage"/>
      <w:pgSz w:w="11906" w:h="16838"/>
      <w:pgMar w:left="1560" w:right="1418" w:gutter="0" w:header="0" w:top="709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281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8431e7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431e7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8431e7"/>
    <w:rPr>
      <w:rFonts w:ascii="Tahoma" w:hAnsi="Tahoma" w:cs="Tahoma"/>
      <w:sz w:val="16"/>
      <w:szCs w:val="16"/>
    </w:rPr>
  </w:style>
  <w:style w:type="character" w:styleId="Style14" w:customStyle="1">
    <w:name w:val="Основной текст с отступом Знак"/>
    <w:basedOn w:val="DefaultParagraphFont"/>
    <w:qFormat/>
    <w:rsid w:val="008431e7"/>
    <w:rPr>
      <w:rFonts w:ascii="Times New Roman" w:hAnsi="Times New Roman" w:eastAsia="Times New Roman" w:cs="Times New Roman"/>
      <w:sz w:val="24"/>
      <w:szCs w:val="24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33555c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8431e7"/>
    <w:pPr>
      <w:widowControl w:val="fals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-145" w:customStyle="1">
    <w:name w:val="Т-14.5"/>
    <w:basedOn w:val="Normal"/>
    <w:qFormat/>
    <w:rsid w:val="008431e7"/>
    <w:pPr>
      <w:widowControl w:val="false"/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21" w:customStyle="1">
    <w:name w:val="Основной текст с отступом 21"/>
    <w:basedOn w:val="Normal"/>
    <w:qFormat/>
    <w:rsid w:val="008431e7"/>
    <w:pPr>
      <w:spacing w:lineRule="auto" w:line="240" w:before="0" w:after="0"/>
      <w:ind w:firstLine="708" w:left="6372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8431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1" w:customStyle="1">
    <w:name w:val="Body Text 21"/>
    <w:basedOn w:val="Normal"/>
    <w:qFormat/>
    <w:rsid w:val="008431e7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BodyTextIndent">
    <w:name w:val="Body Text Indent"/>
    <w:basedOn w:val="Normal"/>
    <w:link w:val="Style14"/>
    <w:rsid w:val="008431e7"/>
    <w:pPr>
      <w:spacing w:lineRule="auto" w:line="240" w:before="0" w:after="120"/>
      <w:ind w:firstLine="851"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bb153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33555c"/>
    <w:pPr>
      <w:spacing w:lineRule="auto" w:line="480" w:before="0" w:after="120"/>
      <w:ind w:left="283"/>
    </w:pPr>
    <w:rPr/>
  </w:style>
  <w:style w:type="paragraph" w:styleId="NormalWeb">
    <w:name w:val="Normal (Web)"/>
    <w:basedOn w:val="Normal"/>
    <w:uiPriority w:val="99"/>
    <w:semiHidden/>
    <w:unhideWhenUsed/>
    <w:qFormat/>
    <w:rsid w:val="00005c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431e7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D865-0D21-429B-9280-4AD60A97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LibreOffice/24.8.5.2$Windows_X86_64 LibreOffice_project/fddf2685c70b461e7832239a0162a77216259f22</Application>
  <AppVersion>15.0000</AppVersion>
  <Pages>3</Pages>
  <Words>367</Words>
  <Characters>3043</Characters>
  <CharactersWithSpaces>3436</CharactersWithSpaces>
  <Paragraphs>46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2025-03-13T10:34:00Z</dcterms:created>
  <dc:creator>user</dc:creator>
  <dc:description/>
  <dc:language>ru-RU</dc:language>
  <cp:lastModifiedBy>PC</cp:lastModifiedBy>
  <cp:lastPrinted>2024-11-26T11:25:00Z</cp:lastPrinted>
  <dcterms:modified xsi:type="dcterms:W3CDTF">2025-03-17T08:27:00Z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