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Hlk89961719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Информационное сообщение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bookmarkStart w:id="1" w:name="_Hlk89962031"/>
      <w:bookmarkStart w:id="2" w:name="_Hlk89962524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на замещение должности главы администрации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Краснояружского района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Белгородской области</w:t>
      </w:r>
      <w:bookmarkEnd w:id="0"/>
      <w:bookmarkEnd w:id="1"/>
      <w:bookmarkEnd w:id="2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Муниципальный совет Краснояружского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сообщает о проведении конкурса на замещение должности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главы администрации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Краснояружского района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Белгородской области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(далее – конкурс)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BodyText"/>
        <w:ind w:firstLine="708" w:right="-1"/>
        <w:jc w:val="both"/>
        <w:rPr>
          <w:szCs w:val="28"/>
        </w:rPr>
      </w:pPr>
      <w:r>
        <w:rPr>
          <w:rFonts w:eastAsia="Calibri"/>
          <w:szCs w:val="28"/>
        </w:rPr>
        <w:t xml:space="preserve">Конкурс состоится 30.01.2025 года в 13 часов 00 минут по адресу: </w:t>
      </w:r>
      <w:r>
        <w:rPr>
          <w:iCs/>
          <w:szCs w:val="28"/>
        </w:rPr>
        <w:t>Белгородская область, поселок Красная Яруга, ул. Центральная, 14, зал заседаний администрации Краснояружского района.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График и место (адрес) приема документов, необходимых для участия </w:t>
        <w:br/>
        <w:t xml:space="preserve">в конкурсе: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документы принимаются секретарем конкурсной комиссии </w:t>
      </w:r>
      <w:r>
        <w:rPr>
          <w:rFonts w:eastAsia="Calibri" w:cs="Times New Roman" w:ascii="Times New Roman" w:hAnsi="Times New Roman"/>
          <w:sz w:val="28"/>
          <w:szCs w:val="28"/>
        </w:rPr>
        <w:t>с 13.01.2025 года по 26.01.2025 года включительно по следующему графику: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в рабочие дни с 8 часов 00 минут до </w:t>
      </w:r>
      <w:r>
        <w:rPr>
          <w:rFonts w:cs="Times New Roman" w:ascii="Times New Roman" w:hAnsi="Times New Roman"/>
          <w:color w:themeColor="text1" w:val="000000"/>
          <w:spacing w:val="4"/>
          <w:sz w:val="28"/>
          <w:szCs w:val="28"/>
        </w:rPr>
        <w:t>12 часов 00 минут и с 13 часов 00 минут до 17 часов 00 минут;</w:t>
      </w:r>
    </w:p>
    <w:p>
      <w:pPr>
        <w:pStyle w:val="ConsPlusNonformat"/>
        <w:ind w:firstLine="708"/>
        <w:jc w:val="both"/>
        <w:rPr>
          <w:rFonts w:ascii="Times New Roman" w:hAnsi="Times New Roman" w:eastAsia="Calibri" w:cs="Times New Roman"/>
          <w:spacing w:val="4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место (адрес) приема документов: Белгородская область, </w:t>
      </w:r>
      <w:r>
        <w:rPr>
          <w:rFonts w:cs="Times New Roman" w:ascii="Times New Roman" w:hAnsi="Times New Roman"/>
          <w:sz w:val="28"/>
          <w:szCs w:val="28"/>
        </w:rPr>
        <w:t>п. Красная Яруга, Парковая 31а, 2 этаж, (Муниципальный совет Краснояружского района).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Телефоны для справок: 847(263)46952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Конкурс проводится в соответствии с федеральными </w:t>
      </w:r>
      <w:hyperlink r:id="rId2" w:tooltip="consultantplus://offline/ref=CF3A09F25B06815EDDF526CA5C64DF3FCE1E6E54AF093AF2031F7A5F061B698CF2D8238FBCDC4EAB2A8884EE92EFhDL">
        <w:r>
          <w:rPr>
            <w:rStyle w:val="Style"/>
            <w:rFonts w:cs="Times New Roman" w:ascii="Times New Roman" w:hAnsi="Times New Roman"/>
            <w:sz w:val="28"/>
            <w:szCs w:val="28"/>
          </w:rPr>
          <w:t>законами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от 06.10.2003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02.03.2007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25-ФЗ </w:t>
        <w:br/>
        <w:t xml:space="preserve">«О муниципальной службе в Российской Федерации», </w:t>
      </w:r>
      <w:hyperlink r:id="rId3" w:tooltip="consultantplus://offline/ref=6CA8DE81ADC0D8A4DE49F7E3EA4BC009769F8FC279B725C9B0A2692C9F0F767D55A0267C1C066E36E785A16895A0E06BBBQBI">
        <w:r>
          <w:rPr>
            <w:rStyle w:val="Style"/>
            <w:rFonts w:cs="Times New Roman" w:ascii="Times New Roman" w:hAnsi="Times New Roman"/>
            <w:sz w:val="28"/>
            <w:szCs w:val="28"/>
          </w:rPr>
          <w:t>законами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Белгородской области от 30.03.2005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177 «Об особенностях организации местного самоуправления в Белгородской области», от 24.09.2007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cs="Times New Roman" w:ascii="Times New Roman" w:hAnsi="Times New Roman"/>
          <w:sz w:val="28"/>
          <w:szCs w:val="28"/>
        </w:rPr>
        <w:t xml:space="preserve">№ 150  «Об особенностях организации муниципальной службы в Белгородской области», </w:t>
      </w:r>
      <w:hyperlink r:id="rId4" w:tooltip="consultantplus://offline/ref=6CA8DE81ADC0D8A4DE49F7E3EA4BC009769F8FC278BC23C3B3A2692C9F0F767D55A0266E1C5E6237EF9BA06D80F6B12DED2E0B790F658B856386F5B1QAI">
        <w:r>
          <w:rPr>
            <w:rStyle w:val="Style"/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области, Порядком проведения конкурса на замещение должности главы администрации Краснояружского района Белгородской области</w:t>
      </w:r>
      <w:r>
        <w:rPr>
          <w:rFonts w:cs="Times New Roman" w:ascii="Times New Roman" w:hAnsi="Times New Roman"/>
          <w:iCs/>
          <w:sz w:val="28"/>
          <w:szCs w:val="28"/>
        </w:rPr>
        <w:t xml:space="preserve"> утвержденного решением Муниципального совета Краснояружского района от 17.12.2024 года № 103 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>Кандидаты на замещение должности главы администрации Краснояружского района могут быть выдвинуты: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Губернатором Белгородской области;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группой депутатов Муниципального совета в количестве не менее пяти человек;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председателем Муниципального совета;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инициативной группой граждан Российской Федерации, обладающих активным избирательным правом, постоянно проживающих на территории Краснояружского района Белгородской области, численностью не менее 60 человек;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 общественными объединениями;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 путем самовыдвижения.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Кандидатами на должность главы администрации Краснояружского района могут быть граждане Российской Федерации, отвечающие требованиям, установленным Федеральным </w:t>
      </w:r>
      <w:hyperlink r:id="rId5" w:tooltip="consultantplus://offline/ref=6CA8DE81ADC0D8A4DE49E9EEFC279A047697D4C676B92A9CEBFD3271C8067C2A00EF2720595B7D37EA85A36D89BAQ1I">
        <w:r>
          <w:rPr>
            <w:rStyle w:val="Style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02.03.2007 </w:t>
      </w:r>
      <w:r>
        <w:rPr>
          <w:rFonts w:eastAsia="Calibri"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25-ФЗ «О муниципальной службе в Российской Федерации», </w:t>
      </w:r>
      <w:hyperlink r:id="rId6" w:tooltip="consultantplus://offline/ref=6CA8DE81ADC0D8A4DE49F7E3EA4BC009769F8FC279B725C9B0A2692C9F0F767D55A0267C1C066E36E785A16895A0E06BBBQBI">
        <w:r>
          <w:rPr>
            <w:rStyle w:val="Style"/>
            <w:rFonts w:cs="Times New Roman" w:ascii="Times New Roman" w:hAnsi="Times New Roman"/>
            <w:sz w:val="28"/>
            <w:szCs w:val="28"/>
          </w:rPr>
          <w:t>законами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Белгородской области от 30.03.2005 </w:t>
      </w:r>
      <w:r>
        <w:rPr>
          <w:rFonts w:eastAsia="Calibri"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177 «Об особенностях организации местного самоуправления в Белгородской области», от 24.09.2007 </w:t>
      </w:r>
      <w:r>
        <w:rPr>
          <w:rFonts w:eastAsia="Calibri" w:cs="Times New Roman" w:ascii="Times New Roman" w:hAnsi="Times New Roman"/>
          <w:sz w:val="28"/>
          <w:szCs w:val="28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 и </w:t>
      </w:r>
      <w:hyperlink r:id="rId7" w:tooltip="consultantplus://offline/ref=6CA8DE81ADC0D8A4DE49F7E3EA4BC009769F8FC278BC23C3B3A2692C9F0F767D55A0266E1C5E6237EF9BA06D80F6B12DED2E0B790F658B856386F5B1QAI">
        <w:r>
          <w:rPr>
            <w:rStyle w:val="Style"/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«Краснояружский район» Белгородской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Кандидат лично либо уполномоченное им лицо на основании доверенности, оформленной в установленном законодательством порядке (далее -уполномоченное лицо), в сроки, указанные в решении об объявлении конкурса, представляет в конкурсную комиссию следующие документы: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Заявление установленной формы (приложение № 5 к настоящему Порядку).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Документ о выдвижении его кандидатом (за исключением случаев самовыдвижения, когда факт самовыдвижения указывается кандидатом в личном заявлении), а именно: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представление – в случае выдвижения кандидата Губернатором Белгородской области, председателем Муниципального совета Краснояружского района Белгородской области или группой депутатов Муниципального совета;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выписку из протокола конференции, собрания общественного объединения, собрания инициативной группы граждан – в случае выдвижения кандидата общественным объединением, инициативной группой граждан.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Паспорт гражданина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Анкету 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Собственноручно заполненную и подписанную им анкету (форма 4), являющуюся приложением к постановлению Правительства Российской Федерации от 7 февраля 2024 года № 132 «Об утверждении Правил допуска должностных лиц     и граждан Российской Федерации к государственной тайне».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</w:t>
        <w:br/>
        <w:t>по форме, утвержденной приказом Министерства здравоохранения и социального развития Российской Федерации от 14 декабря 2009 года № 984н.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Справку об отсутствии медицинских противопоказаний для работы </w:t>
        <w:br/>
        <w:t>с использованием сведений, составляющих государственную тайну, по форме, утвержденной приказом Министерства здравоохранения и социального развития Российской Федерации от 26 августа 2011 года № 989н.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Заверенную нотариально или кадровой службой по месту работы (службы) кандидата копию трудовой книжки и (или) сведения о трудовой деятельности, оформленные в установленном законодательством порядке,               за исключением случаев, когда трудовой договор (контракт) заключается впервые, или иные документы, подтверждающие трудовую (служебную) деятельность гражданина.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Документы об образовании и о квалификации.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Документы воинского учета - для граждан, пребывающих в запасе,         и лиц, подлежащих призыву на военную службу.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Свидетельство о постановке физического лица на учет в налоговом органе по месту жительства на территории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Сведения об адресах сайтов и (или) страниц сайтов в информационно-телекоммуникационной сети «Интернет», на которых кандидат размещал общедоступную информацию, а также данные, позволяющие их идентифицировать, по форме, утвержденной распоряжением Правительства Российской Федерации         от 28 декабря 2016 года № 2867-р.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установленными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РФ от 27 сентября 2019 года № 660.</w:t>
      </w:r>
    </w:p>
    <w:p>
      <w:pPr>
        <w:pStyle w:val="NormalWeb"/>
        <w:spacing w:lineRule="atLeast" w:line="288" w:before="0" w:after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-</w:t>
      </w:r>
      <w:r>
        <w:rPr>
          <w:sz w:val="28"/>
          <w:szCs w:val="28"/>
          <w:highlight w:val="white"/>
        </w:rPr>
        <w:t> </w:t>
      </w:r>
      <w:r>
        <w:rPr>
          <w:rFonts w:eastAsia="TimesNewRoman"/>
          <w:color w:val="000000"/>
          <w:sz w:val="28"/>
          <w:szCs w:val="28"/>
          <w:highlight w:val="white"/>
        </w:rPr>
        <w:t xml:space="preserve">Реестр представления/приема сведений о доходах, расходах, </w:t>
        <w:br/>
        <w:t xml:space="preserve">об имуществе и обязательствах имущественного характера или уведомление </w:t>
        <w:br/>
        <w:t>о 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обимуществе и обязательствах имущественного характера своих супруги (супруга) и несовершеннолетних детей. Предоставление указанных сведений кандидатом осуществляется в соответствии с законом Белгородской области от19 февраля 2024 года № 354 «О противодействии коррупции в Белгородской области»</w:t>
      </w:r>
      <w:r>
        <w:rPr>
          <w:rFonts w:eastAsia="Arial"/>
          <w:color w:val="000000"/>
          <w:sz w:val="28"/>
          <w:szCs w:val="28"/>
          <w:highlight w:val="white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Согласие на обработку персональных данных и проведение в отношении кандидата проверочных мероприятий по установленной форме (приложение № 6  к настоящему Порядку).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Основные направления (концепцию) социально-экономического развития Краснояружского района Белгородской области на срок действия контракта главы администрации, в которой дается развернутое описание приоритетных, по мнению кандидата, направлений работы администрации Краснояружского района Белгородской области.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Проект организации работы администрации Краснояружского района Белгородской области, включающий проект структуры администрации Краснояружского района Белгородской области с указанием основных направлений деятельности структурных подразделений администрации Краснояружского района Белгородской области.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Контактные данные (адрес регистрации и фактического проживания, адрес электронной почты, номер телефона).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Две фотографии размером 3 x 4 см.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Кандидаты вправе представить другие документы, характеризующие </w:t>
        <w:br/>
        <w:t>их профессиональную подготовку.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Документы кандидаты представляют в конкурсную комиссию лично.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  <w:br/>
        <w:t xml:space="preserve">Не допускается подача документов путем их направления по почте, курьером, </w:t>
        <w:br/>
        <w:t>с использованием факсимильной и иных видов связи.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Все документы подаются кандидатом одновременно.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Паспорт гражданина Российской Федерации, документы об образовании и о квалификации, документы воинского учета, документ, подтверждающий </w:t>
      </w:r>
      <w:r>
        <w:rPr>
          <w:rFonts w:cs="Times New Roman" w:ascii="Times New Roman" w:hAnsi="Times New Roman"/>
          <w:sz w:val="28"/>
          <w:szCs w:val="28"/>
        </w:rPr>
        <w:t>регистрацию в системе индивидуального (персонифицированного) учета,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видетельство о постановке физического лица на учет в налоговом органе по месту жительства на территории Российской Федерации возвращаются кандидату в день их предъявления, а их копии заверяются и подшиваются к делу.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приеме документов секретарь конкурсной комиссии сверяет оригиналы представленных документов и их копии, заверяет копии представленных документов.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Копии документов, справки и материалы, представленные кандидатами, возврату не подлежат.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Кандидату выдается расписка в принятии документов с описью принятых документов.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кандидата регистрируется в журнале приема документов от кандидатов на должность главы администрации городского округа с указанием даты и времени его подачи и присвоением порядкового регистрационного номера.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Представленные кандидатом сведения подлежат проверке в порядке, установленном действующим законодательством.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Конкурсная комиссия при необходимости вправе запрашивать дополнительную информацию о кандидате в соответствующих органах и организациях, в том числе у самого кандидата.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>
      <w:pPr>
        <w:pStyle w:val="Normal"/>
        <w:widowControl w:val="false"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нарушение установленного срока подачи документов;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 подача документов путем их направления по почте, курьерской связью, </w:t>
        <w:br/>
        <w:t>с использованием факсимильной и иных видов связи;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представление неполного пакета документов, предусмотренного пунктом   4.4 раздела 4 настоящего Порядка.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Отметка об отказе в приеме документов делается секретарем конкурсной комиссии в расписке о принятии документов.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Конкурсная комиссия вправе запрашивать в соответствующих органах сведения о кандидатах, в том числе с целью проверки документов, представленных участниками Конкурса.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конкурсной комиссии направляет сведения о кандидатах              в соответствующие органы для проведения проверочных мероприятий в соответствии с законодательством о государственной тайне и получения заключения о возможности оформления кандидату допуска к государственной тайне по соответствующей форме.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Конкурсная комиссия при необходимости вправе запрашивать дополнительную информацию о кандидате в соответствующих органах и организациях, в том числе у самого кандидата.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Члены конкурсной комиссии должны заблаговременно ознакомиться                со стратегиями социально-экономического развития Краснояружского района Белгородского области и проектами решений Муниципального совета </w:t>
        <w:br/>
        <w:t>Краснояружского района Белгородского области об утверждении структуры администрации Краснояружского района Белгородского области, представленными кандидатами.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993" w:leader="none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Кандидат не допускается к участию в конкурсе в случае:</w:t>
      </w:r>
    </w:p>
    <w:p>
      <w:pPr>
        <w:pStyle w:val="Normal"/>
        <w:widowControl w:val="false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1) признания его недееспособным или ограниченно дееспособным решением суда, вступившим в законную силу;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>
      <w:pPr>
        <w:pStyle w:val="Normal"/>
        <w:widowControl w:val="false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right="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5) </w:t>
      </w:r>
      <w:r>
        <w:rPr>
          <w:rFonts w:eastAsia="Calibri" w:cs="Times New Roman" w:ascii="Times New Roman" w:hAnsi="Times New Roman"/>
          <w:sz w:val="28"/>
          <w:szCs w:val="28"/>
        </w:rPr>
        <w:t>наличия гражданства (подданства) иностранного государства либо вида      на жительство или иного документа, подтверждающего право на постоянное проживание гражданина на территории иностранного государства, если иное             не предусмотрено международным договором Российской Федерации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признания его не прошедшим военную службу по призыву, не имея              на то законных оснований, в соответствии с заключением призывной комиссии         (за исключением граждан, прошедших военную службу по контракту) - в течение     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               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                на указанное заключение не были нарушены;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7) представления подложных документов или заведомо ложных сведений;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8) близкого родства или свойства (родители, супруги, дети, братья, сестры,        а также братья, сестры, родители, дети супругов и супруги детей) с председателем  Муниципального совета;</w:t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strike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9) отказа от прохождения процедуры оформления допуска к сведениям, составляющим государственную и иную охраняемую федеральными законами тайну, или наличия оснований для отказа в допуске к сведениям, составляющим государственную тайну;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ind w:firstLine="708"/>
        <w:jc w:val="both"/>
        <w:rPr>
          <w:rFonts w:ascii="Times New Roman" w:hAnsi="Times New Roman" w:eastAsia="Calibri" w:cs="Times New Roman"/>
          <w:sz w:val="28"/>
          <w:szCs w:val="28"/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10) представления неполных или недостоверных сведений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Конкурс проводится в два этапа. </w:t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этап конкурса проводится в форме конкурса документов, второй этап конкурса – в форме индивидуального собеседования.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Второй этап конкурса проводится при наличии не менее трех кандидатов, допущенных к участию во втором этапе конкурса.</w:t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сохранности интеллектуальной собственности кандидатов второй этап конкурса является закрытым.</w:t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Оба этапа конкурса могут быть проведены в один день.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первого этапа члены конкурсной комиссии изучают и проверяют документы и сведения, представленные кандидатами на их соответствие требованиям Порядка проведения конкурса на замещение должности главы администрации Краснояружского района Белгородской области, утвержденного решением Муниципального совета Краснояружского района от 17.12.2024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года</w:t>
      </w:r>
      <w:r>
        <w:rPr>
          <w:rFonts w:cs="Times New Roman" w:ascii="Times New Roman" w:hAnsi="Times New Roman"/>
          <w:sz w:val="28"/>
          <w:szCs w:val="28"/>
        </w:rPr>
        <w:t xml:space="preserve">  № 103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Очередность рассмотрения документов 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исходя из даты и времени поступления заявлений.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результатам первого этапа конкурса конкурсная комиссия принимает одно из следующих решений:</w:t>
      </w:r>
    </w:p>
    <w:p>
      <w:pPr>
        <w:pStyle w:val="Normal"/>
        <w:widowControl w:val="false"/>
        <w:spacing w:lineRule="auto" w:line="240" w:before="0" w:after="0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допуске кандидата к участию во втором этапе конкурса;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8" w:left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отказе в допуске кандидата к участию во втором этапе конкурса. При этом в решении указываются конкретные основания, по которым кандидат не допускается к участию в конкурсе;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признании конкурса несостоявшимся.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Решение конкурсной комиссии о результатах первого этапа конкурса, а также о дате и времени проведения второго этапа конкурса доводится до кандидатов любым доступным способом не позднее трех рабочих дней с момента его принятия.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 случае проведения всех этапов конкурса в один день решение о результатах первого этапа конкурса, а также о дате и времени проведения второго этапа конкурса доводится до сведения кандидатов незамедлительно.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Второй этап конкурса проводится в форме индивидуального собеседования с каждым кандидатом.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При проведении второго этапа конкурсная комиссия поочередно (в порядке поступления заявлений на участие в конкурсе) проводит собеседование с каждым из кандидатов. Собеседование проводится в отсутствие других участников конкурса.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Собеседование начинается с представления кандидатом концепции  социально-экономического развития муниципального района и проекта организации работы администрации муниципального района, после чего члены конкурсной комиссии задают вопросы кандидату по существу представленных им материалов, теоретические и практические вопросы в различных сферах управления муниципальным районом, организации деятельности администрации муниципального района, вопросы по законодательству в сфере местного самоуправления и муниципальной службы, противодействия коррупции.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службы, по существу представленных им документов, иные вопросы.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окончании собеседования каждый из членов конкурсной комиссии, руководствуясь собственным правосознанием, исходя из личных знаний и опыта, оценивает кандидатов путем балльной оценки (от 0 до 10 баллов).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 результатам проведения второго этапа конкурса конкурсная комиссия принимает одно из следующих решений: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 признании конкурса состоявшимся и об отборе не менее двух кандидатов, набравших наибольшее количество баллов, для представления в </w:t>
      </w:r>
      <w:r>
        <w:rPr>
          <w:rFonts w:cs="Times New Roman" w:ascii="Times New Roman" w:hAnsi="Times New Roman"/>
          <w:sz w:val="28"/>
          <w:szCs w:val="28"/>
        </w:rPr>
        <w:t>Муниципальный совет Краснояружского района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 признании конкурса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принимает решение о признании конкурса состоявшимся в случае, если конкурсной комиссией отобраны не менее двух кандидатов, набравших наибольшее количество баллов, для представления в Муниципальный совет Краснояружского района, для принятия решения о назначении на должность главы администрации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конкурсной комиссии с приложением итогового протокола заседания конкурсной комиссии в срок не позднее трех рабочих дней со дня его принятия направляется в Муниципальный совет Краснояружского района.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Решение конкурсной комиссии о результатах конкурса доводится до кандидатов, участвующих в конкурсе, любым доступным способом не позднее трех рабочих дней с момента его принятия.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Итоги конкурса рассматриваются на заседании Муниципального совета Краснояружского района. Кандидаты, представленные конкурсной комиссией, выступают со своим докладом (концепцией) на заседании  Муниципального совета Краснояружского района. В случае, если кандидат не может принять участие в заседании Муниципального совета Краснояружского района, на котором рассматривается вопрос о назначении на должность главы администрации района, заседание Муниципального совета Краснояружского района проводится без его участия.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каждой кандидатуре, представленной для назначения на должность главы администрации района, проводится голосование в порядке, установленном Регламентом Муниципального совета Краснояружского района Белгородской области. Победителем признается кандидат, за которого проголосовало большинство от установленного числа депутатов Муниципального совета Краснояружского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Победитель назначается на должность главы администрации муниципального района  решением Муниципального совета Краснояружского района, которое принимается большинством от установленного числа депутатов.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Расходы, связанные с организацией проведения конкурса, производятся за счет средств бюджета Муниципального совета Краснояружского района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кандидатов, связанные с участием в конкурсе (проезд к месту проведения конкурса и обратно, наем жилого помещения, проживание, питание и другие расходы), производятся за счет их собственных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Дополнительную информацию, связанную с проведением конкурса, можно получить по телефонам: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+7 47(263)46952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Адрес электронной почты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: </w:t>
      </w:r>
      <w:hyperlink r:id="rId8"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  <w:lang w:val="en-US"/>
          </w:rPr>
          <w:t>t</w:t>
        </w:r>
        <w:r>
          <w:rPr>
            <w:rStyle w:val="Hyperlink"/>
            <w:rFonts w:cs="Times New Roman" w:ascii="Times New Roman" w:hAnsi="Times New Roman"/>
            <w:color w:themeColor="text1" w:val="000000"/>
            <w:sz w:val="28"/>
            <w:szCs w:val="28"/>
            <w:u w:val="none"/>
          </w:rPr>
          <w:t>kachenko_gv@ky.belregion.ru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распоряжением председателя </w:t>
      </w:r>
      <w:r>
        <w:rPr>
          <w:rFonts w:cs="Times New Roman" w:ascii="Times New Roman" w:hAnsi="Times New Roman"/>
          <w:sz w:val="28"/>
          <w:szCs w:val="28"/>
        </w:rPr>
        <w:t>Муниципального совета Краснояружского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 19.12.2024 года № 33 «Об объявлении конкурса на должность главы администрации </w:t>
      </w:r>
      <w:r>
        <w:rPr>
          <w:rFonts w:cs="Times New Roman" w:ascii="Times New Roman" w:hAnsi="Times New Roman"/>
          <w:sz w:val="28"/>
          <w:szCs w:val="28"/>
        </w:rPr>
        <w:t>Муниципального района «Краснояружский район»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Белгородской области» и с условиями конкурса, предусмотренными</w:t>
      </w:r>
      <w:r>
        <w:rPr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Порядком проведения конкурса на замещение должности главы администрации Краснояружского района Белгородской области, утвержденным решением Муниципальным советом Краснояружского района от 17.12.2024 года № 103</w:t>
      </w:r>
      <w:r>
        <w:rPr>
          <w:rFonts w:cs="Times New Roman" w:ascii="Times New Roman" w:hAnsi="Times New Roman"/>
          <w:bCs/>
          <w:sz w:val="28"/>
          <w:szCs w:val="28"/>
        </w:rPr>
        <w:t>, можно ознакомиться в сетевом издании «Наша жизнь-31»</w:t>
      </w:r>
      <w:r>
        <w:rPr>
          <w:rFonts w:eastAsia="Calibri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(www.zhizn31.ru)</w:t>
      </w:r>
      <w:r>
        <w:rPr>
          <w:rFonts w:cs="Times New Roman" w:ascii="Times New Roman" w:hAnsi="Times New Roman"/>
          <w:bCs/>
          <w:sz w:val="28"/>
          <w:szCs w:val="28"/>
        </w:rPr>
        <w:t xml:space="preserve">, а также на официальном сайте органов местного самоуправления </w:t>
      </w:r>
      <w:hyperlink r:id="rId9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https://krasnoyaruzhskij-r31.gosweb.gosuslugi.ru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exact" w:line="322"/>
        <w:ind w:firstLine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 w:right="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headerReference w:type="even" r:id="rId10"/>
      <w:headerReference w:type="default" r:id="rId11"/>
      <w:headerReference w:type="first" r:id="rId12"/>
      <w:type w:val="nextPage"/>
      <w:pgSz w:w="11906" w:h="16838"/>
      <w:pgMar w:left="1701" w:right="850" w:gutter="0" w:header="708" w:top="85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11750224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9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7e13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rsid w:val="00347e13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347e13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347e13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347e1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347e13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347e13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347e13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347e13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347e13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347e1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347e13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347e1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347e1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47e1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347e1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47e1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347e1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347e13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347e13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347e13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347e13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347e13"/>
    <w:rPr>
      <w:i/>
    </w:rPr>
  </w:style>
  <w:style w:type="character" w:styleId="HeaderChar" w:customStyle="1">
    <w:name w:val="Header Char"/>
    <w:basedOn w:val="DefaultParagraphFont"/>
    <w:uiPriority w:val="99"/>
    <w:qFormat/>
    <w:rsid w:val="00347e13"/>
    <w:rPr/>
  </w:style>
  <w:style w:type="character" w:styleId="FooterChar" w:customStyle="1">
    <w:name w:val="Footer Char"/>
    <w:basedOn w:val="DefaultParagraphFont"/>
    <w:uiPriority w:val="99"/>
    <w:qFormat/>
    <w:rsid w:val="00347e13"/>
    <w:rPr/>
  </w:style>
  <w:style w:type="character" w:styleId="CaptionChar" w:customStyle="1">
    <w:name w:val="Caption Char"/>
    <w:uiPriority w:val="99"/>
    <w:qFormat/>
    <w:rsid w:val="00347e13"/>
    <w:rPr/>
  </w:style>
  <w:style w:type="character" w:styleId="Style8" w:customStyle="1">
    <w:name w:val="Текст сноски Знак"/>
    <w:uiPriority w:val="99"/>
    <w:qFormat/>
    <w:rsid w:val="00347e13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347e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347e13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347e1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7e13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47e13"/>
    <w:rPr>
      <w:color w:val="605E5C"/>
      <w:shd w:fill="E1DFDD" w:val="clear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347e13"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347e13"/>
    <w:rPr/>
  </w:style>
  <w:style w:type="character" w:styleId="Style14" w:customStyle="1">
    <w:name w:val="Нижний колонтитул Знак"/>
    <w:basedOn w:val="DefaultParagraphFont"/>
    <w:uiPriority w:val="99"/>
    <w:qFormat/>
    <w:rsid w:val="00347e13"/>
    <w:rPr/>
  </w:style>
  <w:style w:type="character" w:styleId="Style15" w:customStyle="1">
    <w:name w:val="Основной текст Знак"/>
    <w:basedOn w:val="DefaultParagraphFont"/>
    <w:qFormat/>
    <w:rsid w:val="00ad157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5"/>
    <w:rsid w:val="00ad1578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347e13"/>
    <w:pPr>
      <w:spacing w:lineRule="auto" w:line="276"/>
    </w:pPr>
    <w:rPr>
      <w:b/>
      <w:bCs/>
      <w:color w:themeColor="accent1" w:val="4472C4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47e13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347e13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347e13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347e1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347e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rsid w:val="00347e13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347e13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47e13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347e13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347e13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347e13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347e13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347e13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347e13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347e13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347e13"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rsid w:val="00347e13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347e13"/>
    <w:pPr>
      <w:spacing w:before="0" w:after="0"/>
    </w:pPr>
    <w:rPr/>
  </w:style>
  <w:style w:type="paragraph" w:styleId="ConsPlusNormal" w:customStyle="1">
    <w:name w:val="ConsPlusNormal"/>
    <w:uiPriority w:val="99"/>
    <w:qFormat/>
    <w:rsid w:val="00347e13"/>
    <w:pPr>
      <w:widowControl w:val="false"/>
      <w:bidi w:val="0"/>
      <w:spacing w:lineRule="auto" w:line="240" w:before="0" w:after="0"/>
      <w:jc w:val="left"/>
    </w:pPr>
    <w:rPr>
      <w:rFonts w:ascii="Calibri" w:hAnsi="Calibri" w:eastAsia="Arial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47e1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347e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Style13"/>
    <w:uiPriority w:val="99"/>
    <w:unhideWhenUsed/>
    <w:rsid w:val="00347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 w:customStyle="1">
    <w:name w:val="footer"/>
    <w:basedOn w:val="Normal"/>
    <w:link w:val="Style14"/>
    <w:uiPriority w:val="99"/>
    <w:unhideWhenUsed/>
    <w:rsid w:val="00347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47e13"/>
    <w:pPr>
      <w:spacing w:lineRule="auto" w:line="276" w:before="0" w:after="200"/>
    </w:pPr>
    <w:rPr>
      <w:rFonts w:ascii="Times New Roman" w:hAnsi="Times New Roman" w:eastAsia="Calibri" w:cs="Times New Roman"/>
      <w:sz w:val="24"/>
      <w:szCs w:val="24"/>
    </w:rPr>
  </w:style>
  <w:style w:type="paragraph" w:styleId="ConsPlusNonformat" w:customStyle="1">
    <w:name w:val="ConsPlusNonformat"/>
    <w:qFormat/>
    <w:rsid w:val="00ad157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47e1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7e1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47e1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47e1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7e13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47e13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3A09F25B06815EDDF526CA5C64DF3FCE1E6E54AF093AF2031F7A5F061B698CF2D8238FBCDC4EAB2A8884EE92EFhDL" TargetMode="External"/><Relationship Id="rId3" Type="http://schemas.openxmlformats.org/officeDocument/2006/relationships/hyperlink" Target="consultantplus://offline/ref=6CA8DE81ADC0D8A4DE49F7E3EA4BC009769F8FC279B725C9B0A2692C9F0F767D55A0267C1C066E36E785A16895A0E06BBBQBI" TargetMode="External"/><Relationship Id="rId4" Type="http://schemas.openxmlformats.org/officeDocument/2006/relationships/hyperlink" Target="consultantplus://offline/ref=6CA8DE81ADC0D8A4DE49F7E3EA4BC009769F8FC278BC23C3B3A2692C9F0F767D55A0266E1C5E6237EF9BA06D80F6B12DED2E0B790F658B856386F5B1QAI" TargetMode="External"/><Relationship Id="rId5" Type="http://schemas.openxmlformats.org/officeDocument/2006/relationships/hyperlink" Target="consultantplus://offline/ref=6CA8DE81ADC0D8A4DE49E9EEFC279A047697D4C676B92A9CEBFD3271C8067C2A00EF2720595B7D37EA85A36D89BAQ1I" TargetMode="External"/><Relationship Id="rId6" Type="http://schemas.openxmlformats.org/officeDocument/2006/relationships/hyperlink" Target="consultantplus://offline/ref=6CA8DE81ADC0D8A4DE49F7E3EA4BC009769F8FC279B725C9B0A2692C9F0F767D55A0267C1C066E36E785A16895A0E06BBBQBI" TargetMode="External"/><Relationship Id="rId7" Type="http://schemas.openxmlformats.org/officeDocument/2006/relationships/hyperlink" Target="consultantplus://offline/ref=6CA8DE81ADC0D8A4DE49F7E3EA4BC009769F8FC278BC23C3B3A2692C9F0F767D55A0266E1C5E6237EF9BA06D80F6B12DED2E0B790F658B856386F5B1QAI" TargetMode="External"/><Relationship Id="rId8" Type="http://schemas.openxmlformats.org/officeDocument/2006/relationships/hyperlink" Target="mailto:tkachenko_gv@ky.belregion.ru" TargetMode="External"/><Relationship Id="rId9" Type="http://schemas.openxmlformats.org/officeDocument/2006/relationships/hyperlink" Target="https://krasnoyaruzhskij-r31.gosweb.gosuslugi.ru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LibreOffice/24.8.3.2$Windows_X86_64 LibreOffice_project/48a6bac9e7e268aeb4c3483fcf825c94556d9f92</Application>
  <AppVersion>15.0000</AppVersion>
  <Pages>7</Pages>
  <Words>2436</Words>
  <Characters>17813</Characters>
  <CharactersWithSpaces>20394</CharactersWithSpaces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2024-12-20T12:28:00Z</dcterms:created>
  <dc:creator>user</dc:creator>
  <dc:description/>
  <dc:language>ru-RU</dc:language>
  <cp:lastModifiedBy>arms</cp:lastModifiedBy>
  <dcterms:modified xsi:type="dcterms:W3CDTF">2024-12-23T06:26:00Z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