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545AC0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545AC0">
              <w:rPr>
                <w:sz w:val="28"/>
                <w:szCs w:val="28"/>
              </w:rPr>
              <w:t>7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3D04A3" w:rsidRPr="003D04A3">
        <w:rPr>
          <w:b/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="008550D5" w:rsidRPr="008550D5"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626F68">
        <w:rPr>
          <w:b/>
          <w:sz w:val="28"/>
          <w:szCs w:val="28"/>
        </w:rPr>
        <w:t>2</w:t>
      </w:r>
      <w:r w:rsidRPr="003955AE">
        <w:rPr>
          <w:b/>
          <w:sz w:val="28"/>
          <w:szCs w:val="28"/>
        </w:rPr>
        <w:t xml:space="preserve">, </w:t>
      </w:r>
      <w:r w:rsidR="00626F68" w:rsidRPr="00626F68">
        <w:rPr>
          <w:b/>
          <w:bCs/>
          <w:sz w:val="28"/>
          <w:szCs w:val="28"/>
        </w:rPr>
        <w:t>Мартынова Евгения Васильевича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</w:t>
      </w:r>
      <w:r w:rsidRPr="003D04A3">
        <w:rPr>
          <w:sz w:val="28"/>
          <w:szCs w:val="28"/>
          <w:shd w:val="clear" w:color="auto" w:fill="FFFFFF"/>
        </w:rPr>
        <w:t xml:space="preserve">объединением </w:t>
      </w:r>
      <w:r w:rsidR="003D04A3" w:rsidRPr="003D04A3">
        <w:rPr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Pr="003D04A3">
        <w:rPr>
          <w:sz w:val="28"/>
          <w:szCs w:val="28"/>
          <w:shd w:val="clear" w:color="auto" w:fill="FFFFFF"/>
        </w:rPr>
        <w:t>кандида</w:t>
      </w:r>
      <w:r w:rsidRPr="00D010AB">
        <w:rPr>
          <w:sz w:val="28"/>
          <w:szCs w:val="28"/>
          <w:shd w:val="clear" w:color="auto" w:fill="FFFFFF"/>
        </w:rPr>
        <w:t xml:space="preserve">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626F68" w:rsidRPr="00626F68">
        <w:rPr>
          <w:bCs/>
          <w:sz w:val="28"/>
          <w:szCs w:val="28"/>
        </w:rPr>
        <w:t>Мартынов</w:t>
      </w:r>
      <w:r w:rsidR="00626F68">
        <w:rPr>
          <w:bCs/>
          <w:sz w:val="28"/>
          <w:szCs w:val="28"/>
        </w:rPr>
        <w:t>а</w:t>
      </w:r>
      <w:r w:rsidR="00626F68" w:rsidRPr="00626F68">
        <w:rPr>
          <w:bCs/>
          <w:sz w:val="28"/>
          <w:szCs w:val="28"/>
        </w:rPr>
        <w:t xml:space="preserve"> Евгени</w:t>
      </w:r>
      <w:r w:rsidR="00626F68">
        <w:rPr>
          <w:bCs/>
          <w:sz w:val="28"/>
          <w:szCs w:val="28"/>
        </w:rPr>
        <w:t>я</w:t>
      </w:r>
      <w:r w:rsidR="00626F68" w:rsidRPr="00626F68">
        <w:rPr>
          <w:bCs/>
          <w:sz w:val="28"/>
          <w:szCs w:val="28"/>
        </w:rPr>
        <w:t xml:space="preserve"> Васильевич</w:t>
      </w:r>
      <w:r w:rsidR="00626F68">
        <w:rPr>
          <w:bCs/>
          <w:sz w:val="28"/>
          <w:szCs w:val="28"/>
        </w:rPr>
        <w:t>а</w:t>
      </w:r>
      <w:r w:rsidR="006E704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626F68">
        <w:rPr>
          <w:sz w:val="28"/>
          <w:szCs w:val="28"/>
          <w:shd w:val="clear" w:color="auto" w:fill="FFFFFF"/>
        </w:rPr>
        <w:t>2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</w:t>
      </w:r>
      <w:r w:rsidRPr="00215518">
        <w:rPr>
          <w:sz w:val="28"/>
          <w:szCs w:val="28"/>
          <w:shd w:val="clear" w:color="auto" w:fill="FFFFFF"/>
        </w:rPr>
        <w:lastRenderedPageBreak/>
        <w:t>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626F68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6E704A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626F68">
        <w:rPr>
          <w:sz w:val="28"/>
          <w:szCs w:val="28"/>
          <w:shd w:val="clear" w:color="auto" w:fill="FFFFFF"/>
        </w:rPr>
        <w:t>2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r w:rsidR="00626F68" w:rsidRPr="00626F68">
        <w:rPr>
          <w:bCs/>
          <w:sz w:val="28"/>
          <w:szCs w:val="28"/>
        </w:rPr>
        <w:t>Мартынов</w:t>
      </w:r>
      <w:r w:rsidR="00626F68">
        <w:rPr>
          <w:bCs/>
          <w:sz w:val="28"/>
          <w:szCs w:val="28"/>
        </w:rPr>
        <w:t>а</w:t>
      </w:r>
      <w:r w:rsidR="00626F68" w:rsidRPr="00626F68">
        <w:rPr>
          <w:bCs/>
          <w:sz w:val="28"/>
          <w:szCs w:val="28"/>
        </w:rPr>
        <w:t xml:space="preserve"> Евгени</w:t>
      </w:r>
      <w:r w:rsidR="00626F68">
        <w:rPr>
          <w:bCs/>
          <w:sz w:val="28"/>
          <w:szCs w:val="28"/>
        </w:rPr>
        <w:t>я</w:t>
      </w:r>
      <w:r w:rsidR="00626F68" w:rsidRPr="00626F68">
        <w:rPr>
          <w:bCs/>
          <w:sz w:val="28"/>
          <w:szCs w:val="28"/>
        </w:rPr>
        <w:t xml:space="preserve"> Васильевич</w:t>
      </w:r>
      <w:r w:rsidR="00626F68">
        <w:rPr>
          <w:bCs/>
          <w:sz w:val="28"/>
          <w:szCs w:val="28"/>
        </w:rPr>
        <w:t>а</w:t>
      </w:r>
      <w:r w:rsidR="00626F68" w:rsidRPr="00626F68">
        <w:rPr>
          <w:bCs/>
          <w:sz w:val="28"/>
          <w:szCs w:val="28"/>
        </w:rPr>
        <w:t>,</w:t>
      </w:r>
      <w:r w:rsidR="00626F68" w:rsidRPr="00F14588">
        <w:rPr>
          <w:sz w:val="28"/>
          <w:szCs w:val="28"/>
        </w:rPr>
        <w:t xml:space="preserve"> дата рождения – 23 февраля 2003 года, место рождения – г. Краснодон Луганская обл., адрес места жительства – Луганская Народная Республика, город Луганск, гражданство – Российская Федерация, профессиональное образование – федеральное государственное бюджетное образовательное учреждение высшего образования "Луганский государственный педагогический университет", 2024 г</w:t>
      </w:r>
      <w:proofErr w:type="gramEnd"/>
      <w:r w:rsidR="00626F68" w:rsidRPr="00F14588">
        <w:rPr>
          <w:sz w:val="28"/>
          <w:szCs w:val="28"/>
        </w:rPr>
        <w:t>., основное место работы или службы, занимаемая должность / род занятий – федеральное государственное унитарное предприятие "Информационное телеграфное агентство России (ИТАР-ТАСС)", специальный корреспондент</w:t>
      </w:r>
      <w:r w:rsidR="003D04A3">
        <w:rPr>
          <w:sz w:val="28"/>
          <w:szCs w:val="28"/>
        </w:rPr>
        <w:t xml:space="preserve">, </w:t>
      </w:r>
      <w:r w:rsidR="003D04A3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3D04A3" w:rsidRPr="008550D5">
        <w:rPr>
          <w:sz w:val="28"/>
          <w:szCs w:val="28"/>
        </w:rPr>
        <w:t>.</w:t>
      </w:r>
      <w:r w:rsidR="003D04A3">
        <w:rPr>
          <w:sz w:val="28"/>
          <w:szCs w:val="28"/>
        </w:rPr>
        <w:t xml:space="preserve"> </w:t>
      </w:r>
      <w:r w:rsidR="003D04A3"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3D04A3" w:rsidRPr="00440D60">
        <w:rPr>
          <w:sz w:val="28"/>
          <w:szCs w:val="28"/>
        </w:rPr>
        <w:t>30 июля 2025 года</w:t>
      </w:r>
      <w:r w:rsidR="003D04A3">
        <w:rPr>
          <w:sz w:val="28"/>
          <w:szCs w:val="28"/>
        </w:rPr>
        <w:t>.</w:t>
      </w:r>
      <w:r w:rsidR="003D04A3" w:rsidRPr="00440D60">
        <w:rPr>
          <w:sz w:val="28"/>
          <w:szCs w:val="28"/>
        </w:rPr>
        <w:t xml:space="preserve"> </w:t>
      </w:r>
      <w:r w:rsidRPr="00440D60">
        <w:rPr>
          <w:sz w:val="28"/>
          <w:szCs w:val="28"/>
        </w:rPr>
        <w:t>Время регистрации:</w:t>
      </w:r>
      <w:r w:rsidR="00FF4DF0">
        <w:rPr>
          <w:sz w:val="28"/>
          <w:szCs w:val="28"/>
        </w:rPr>
        <w:t xml:space="preserve"> 10</w:t>
      </w:r>
      <w:r w:rsidRPr="00440D60">
        <w:rPr>
          <w:sz w:val="28"/>
          <w:szCs w:val="28"/>
        </w:rPr>
        <w:t xml:space="preserve"> часов </w:t>
      </w:r>
      <w:r w:rsidR="00FF4DF0">
        <w:rPr>
          <w:sz w:val="28"/>
          <w:szCs w:val="28"/>
        </w:rPr>
        <w:t>10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626F68">
        <w:rPr>
          <w:rFonts w:ascii="Times New Roman" w:hAnsi="Times New Roman"/>
          <w:szCs w:val="28"/>
          <w:shd w:val="clear" w:color="auto" w:fill="FFFFFF"/>
        </w:rPr>
        <w:t>2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r w:rsidR="00626F68" w:rsidRPr="00626F68">
        <w:rPr>
          <w:rFonts w:ascii="Times New Roman" w:hAnsi="Times New Roman"/>
          <w:bCs/>
          <w:szCs w:val="28"/>
        </w:rPr>
        <w:t>Мартынов</w:t>
      </w:r>
      <w:r w:rsidR="00626F68">
        <w:rPr>
          <w:rFonts w:ascii="Times New Roman" w:hAnsi="Times New Roman"/>
          <w:bCs/>
          <w:szCs w:val="28"/>
        </w:rPr>
        <w:t>у</w:t>
      </w:r>
      <w:r w:rsidR="00626F68" w:rsidRPr="00626F68">
        <w:rPr>
          <w:rFonts w:ascii="Times New Roman" w:hAnsi="Times New Roman"/>
          <w:bCs/>
          <w:szCs w:val="28"/>
        </w:rPr>
        <w:t xml:space="preserve"> Евгени</w:t>
      </w:r>
      <w:r w:rsidR="00626F68">
        <w:rPr>
          <w:rFonts w:ascii="Times New Roman" w:hAnsi="Times New Roman"/>
          <w:bCs/>
          <w:szCs w:val="28"/>
        </w:rPr>
        <w:t>ю</w:t>
      </w:r>
      <w:r w:rsidR="00626F68" w:rsidRPr="00626F68">
        <w:rPr>
          <w:rFonts w:ascii="Times New Roman" w:hAnsi="Times New Roman"/>
          <w:bCs/>
          <w:szCs w:val="28"/>
        </w:rPr>
        <w:t xml:space="preserve"> Васильевич</w:t>
      </w:r>
      <w:r w:rsidR="00626F68">
        <w:rPr>
          <w:rFonts w:ascii="Times New Roman" w:hAnsi="Times New Roman"/>
          <w:bCs/>
          <w:szCs w:val="28"/>
        </w:rPr>
        <w:t>у</w:t>
      </w:r>
      <w:r w:rsidR="00626F68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5092F"/>
    <w:rsid w:val="00277DE2"/>
    <w:rsid w:val="002B3FE4"/>
    <w:rsid w:val="002D63F6"/>
    <w:rsid w:val="002E5A6E"/>
    <w:rsid w:val="002F2F18"/>
    <w:rsid w:val="00316646"/>
    <w:rsid w:val="003955AE"/>
    <w:rsid w:val="003D04A3"/>
    <w:rsid w:val="00416083"/>
    <w:rsid w:val="00440D60"/>
    <w:rsid w:val="00481437"/>
    <w:rsid w:val="00545AC0"/>
    <w:rsid w:val="005518C3"/>
    <w:rsid w:val="005737CA"/>
    <w:rsid w:val="005C7C71"/>
    <w:rsid w:val="00620440"/>
    <w:rsid w:val="00626F68"/>
    <w:rsid w:val="006708AA"/>
    <w:rsid w:val="00692FBC"/>
    <w:rsid w:val="006E704A"/>
    <w:rsid w:val="008347FF"/>
    <w:rsid w:val="008550D5"/>
    <w:rsid w:val="00871022"/>
    <w:rsid w:val="00873B0F"/>
    <w:rsid w:val="00A644A8"/>
    <w:rsid w:val="00A80CFF"/>
    <w:rsid w:val="00A854E4"/>
    <w:rsid w:val="00A915A6"/>
    <w:rsid w:val="00C14D30"/>
    <w:rsid w:val="00C742AC"/>
    <w:rsid w:val="00C904CE"/>
    <w:rsid w:val="00C94DD3"/>
    <w:rsid w:val="00D35FE2"/>
    <w:rsid w:val="00DF40FA"/>
    <w:rsid w:val="00E43DD1"/>
    <w:rsid w:val="00E4458E"/>
    <w:rsid w:val="00E87250"/>
    <w:rsid w:val="00FB6159"/>
    <w:rsid w:val="00FB7943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2025-07-30T07:49:00Z</cp:lastPrinted>
  <dcterms:created xsi:type="dcterms:W3CDTF">2025-07-29T06:51:00Z</dcterms:created>
  <dcterms:modified xsi:type="dcterms:W3CDTF">2025-07-30T13:43:00Z</dcterms:modified>
</cp:coreProperties>
</file>